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简体" w:eastAsia="方正小标宋简体"/>
          <w:b/>
          <w:color w:val="FF0000"/>
          <w:spacing w:val="80"/>
          <w:sz w:val="90"/>
          <w:szCs w:val="90"/>
          <w:u w:val="none"/>
        </w:rPr>
      </w:pPr>
      <w:r>
        <w:rPr>
          <w:rFonts w:hint="eastAsia" w:ascii="方正小标宋简体" w:hAnsi="Times New Roman" w:eastAsia="方正小标宋简体" w:cs="Times New Roman"/>
          <w:b/>
          <w:color w:val="FF0000"/>
          <w:spacing w:val="80"/>
          <w:sz w:val="92"/>
          <w:szCs w:val="92"/>
          <w:u w:val="none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北艺教务〔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  <w:lang w:val="en-US" w:eastAsia="zh-CN"/>
        </w:rPr>
        <w:t>2023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〕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  <w:lang w:val="en-US" w:eastAsia="zh-CN"/>
        </w:rPr>
        <w:t>56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号</w:t>
      </w:r>
    </w:p>
    <w:p>
      <w:pPr>
        <w:spacing w:line="560" w:lineRule="exact"/>
        <w:rPr>
          <w:rFonts w:hint="eastAsia"/>
          <w:u w:val="none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31115</wp:posOffset>
                </wp:positionV>
                <wp:extent cx="5748655" cy="0"/>
                <wp:effectExtent l="0" t="19050" r="4445" b="190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574865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0pt;margin-top:2.45pt;height:0pt;width:452.65pt;z-index:251659264;mso-width-relative:page;mso-height-relative:page;" filled="f" stroked="t" coordsize="21600,21600" o:gfxdata="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u9jPG1AAAAAQBAAAPAAAAAAAAAAEA&#10;IAAAACIAAABkcnMvZG93bnJldi54bWxQSwECFAAUAAAACACHTuJAdQP+TtoBAACRAwAADgAAAAAA&#10;AAABACAAAAAjAQAAZHJzL2Uyb0RvYy54bWxQSwUGAAAAAAYABgBZAQAAbwUAAAAA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u w:val="none"/>
        </w:rPr>
        <w:t>关于做好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u w:val="none"/>
          <w:lang w:val="en-US" w:eastAsia="zh-CN"/>
        </w:rPr>
        <w:t>2024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u w:val="none"/>
        </w:rPr>
        <w:t>届本科毕业设计（论文）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u w:val="none"/>
        </w:rPr>
        <w:t>工作的通知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  <w:u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各二级学院：</w:t>
      </w:r>
    </w:p>
    <w:p>
      <w:pPr>
        <w:spacing w:line="560" w:lineRule="exact"/>
        <w:ind w:firstLine="640" w:firstLineChars="200"/>
        <w:rPr>
          <w:rFonts w:ascii="仿宋_GB2312" w:hAnsi="仿宋" w:eastAsia="仿宋_GB2312" w:cstheme="minorBidi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毕业设计（论文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" w:eastAsia="仿宋_GB2312" w:cstheme="minorBidi"/>
          <w:sz w:val="32"/>
          <w:szCs w:val="32"/>
        </w:rPr>
        <w:t>是人才培养中的一个重要的综合性实践教学环节，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根据《北海艺术设计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学院毕业设计（论文）管理办法》（北艺教发〔2021〕30号）文件要求</w:t>
      </w:r>
      <w:r>
        <w:rPr>
          <w:rFonts w:hint="eastAsia" w:ascii="仿宋_GB2312" w:hAnsi="仿宋" w:eastAsia="仿宋_GB2312" w:cstheme="minorBidi"/>
          <w:sz w:val="32"/>
          <w:szCs w:val="32"/>
        </w:rPr>
        <w:t>，结合教育部关于《本科</w:t>
      </w:r>
      <w:r>
        <w:rPr>
          <w:rFonts w:hint="eastAsia" w:ascii="仿宋_GB2312" w:hAnsi="仿宋" w:eastAsia="仿宋_GB2312" w:cstheme="minorBidi"/>
          <w:sz w:val="32"/>
          <w:szCs w:val="32"/>
          <w:lang w:eastAsia="zh-CN"/>
        </w:rPr>
        <w:t>毕业设计（论文）</w:t>
      </w:r>
      <w:r>
        <w:rPr>
          <w:rFonts w:hint="eastAsia" w:ascii="仿宋_GB2312" w:hAnsi="仿宋" w:eastAsia="仿宋_GB2312" w:cstheme="minorBidi"/>
          <w:sz w:val="32"/>
          <w:szCs w:val="32"/>
        </w:rPr>
        <w:t>抽检办法》的相关规定，现将</w:t>
      </w:r>
      <w:r>
        <w:rPr>
          <w:rFonts w:hint="eastAsia" w:ascii="仿宋_GB2312" w:hAnsi="仿宋" w:eastAsia="仿宋_GB2312" w:cstheme="minorBidi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theme="minorBidi"/>
          <w:sz w:val="32"/>
          <w:szCs w:val="32"/>
        </w:rPr>
        <w:t>届本科学生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毕业设计（论文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" w:eastAsia="仿宋_GB2312" w:cstheme="minorBidi"/>
          <w:sz w:val="32"/>
          <w:szCs w:val="32"/>
        </w:rPr>
        <w:t>工作的有关事项通知如下：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u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  <w:t>一、基本要求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各二级学院要根据《普通高等学校本科专业类教学质量国家标准》和学校已有相关制度文件，尽快制定并完善本学院2024届本科毕业生毕业设计（论文）工作具体方案；做好毕业设计（论文）的题目征集与审核、学生自主选题审核、指导教师确定（为了保证论文质量可以探索“行业专家+校内教师”双导师制）、论文开题、教师指导、中期检查、设计（论文）初评与修改、查重、答辩、存档等全流程管理，细化相关工作流程、标准和要求，确保顺利完成各项相关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北京实践基地办公室要配合各二级学院做好2024届毕业生的毕业设计（论文）创作开题、中期检查、答辩和成绩评定等工作。毕业设计（论文）答辩结束后，由二级学院综合办负责录入成绩系统，并打印纸质成绩表一式二份，一份提交学校教务处，一份交二级学院存档。</w:t>
      </w:r>
    </w:p>
    <w:p>
      <w:pPr>
        <w:spacing w:line="600" w:lineRule="exact"/>
        <w:ind w:firstLine="640" w:firstLineChars="200"/>
        <w:rPr>
          <w:rFonts w:ascii="黑体" w:hAnsi="黑体" w:eastAsia="黑体" w:cs="Helvetica"/>
          <w:color w:val="333333"/>
          <w:sz w:val="32"/>
          <w:szCs w:val="32"/>
          <w:lang w:val="en"/>
        </w:rPr>
      </w:pPr>
      <w:r>
        <w:rPr>
          <w:rFonts w:hint="eastAsia" w:ascii="黑体" w:hAnsi="黑体" w:eastAsia="黑体" w:cs="Helvetica"/>
          <w:color w:val="333333"/>
          <w:sz w:val="32"/>
          <w:szCs w:val="32"/>
          <w:lang w:val="en"/>
        </w:rPr>
        <w:t>二、过程管理</w:t>
      </w:r>
    </w:p>
    <w:p>
      <w:pPr>
        <w:spacing w:line="560" w:lineRule="exact"/>
        <w:ind w:firstLine="640" w:firstLineChars="200"/>
        <w:rPr>
          <w:rFonts w:ascii="仿宋_GB2312" w:hAnsi="仿宋" w:eastAsia="仿宋_GB2312" w:cstheme="minorBidi"/>
          <w:b/>
          <w:sz w:val="32"/>
          <w:szCs w:val="32"/>
        </w:rPr>
      </w:pPr>
      <w:r>
        <w:rPr>
          <w:rFonts w:hint="eastAsia" w:ascii="仿宋" w:hAnsi="仿宋" w:eastAsia="仿宋" w:cs="Helvetica"/>
          <w:color w:val="333333"/>
          <w:sz w:val="32"/>
          <w:szCs w:val="32"/>
          <w:lang w:val="en"/>
        </w:rPr>
        <w:t>（一）20</w:t>
      </w:r>
      <w:r>
        <w:rPr>
          <w:rFonts w:ascii="仿宋" w:hAnsi="仿宋" w:eastAsia="仿宋" w:cs="Helvetica"/>
          <w:color w:val="333333"/>
          <w:sz w:val="32"/>
          <w:szCs w:val="32"/>
          <w:lang w:val="en"/>
        </w:rPr>
        <w:t>2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"/>
        </w:rPr>
        <w:t>届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" w:eastAsia="zh-CN"/>
        </w:rPr>
        <w:t>毕业设计（论文）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"/>
        </w:rPr>
        <w:t>工作使用维普毕业设计（论文）管理系统：地址：https://vgms.fanyu.com/进行全程信息化管理。</w:t>
      </w:r>
      <w:r>
        <w:rPr>
          <w:rFonts w:hint="eastAsia" w:ascii="仿宋_GB2312" w:hAnsi="仿宋" w:eastAsia="仿宋_GB2312" w:cstheme="minorBidi"/>
          <w:sz w:val="32"/>
          <w:szCs w:val="32"/>
        </w:rPr>
        <w:t>各二级学院</w:t>
      </w:r>
      <w:r>
        <w:rPr>
          <w:rFonts w:hint="eastAsia" w:ascii="仿宋_GB2312" w:hAnsi="仿宋" w:eastAsia="仿宋_GB2312" w:cstheme="minorBidi"/>
          <w:sz w:val="32"/>
          <w:szCs w:val="32"/>
          <w:lang w:eastAsia="zh-CN"/>
        </w:rPr>
        <w:t>毕业设计（论文）</w:t>
      </w:r>
      <w:r>
        <w:rPr>
          <w:rFonts w:hint="eastAsia" w:ascii="仿宋_GB2312" w:hAnsi="仿宋" w:eastAsia="仿宋_GB2312" w:cstheme="minorBidi"/>
          <w:sz w:val="32"/>
          <w:szCs w:val="32"/>
        </w:rPr>
        <w:t>工作（包括题目申报、师生互选、开题报告、指导老师指导过程记录、</w:t>
      </w:r>
      <w:r>
        <w:rPr>
          <w:rFonts w:hint="eastAsia" w:ascii="仿宋_GB2312" w:hAnsi="仿宋" w:eastAsia="仿宋_GB2312" w:cstheme="minorBidi"/>
          <w:sz w:val="32"/>
          <w:szCs w:val="32"/>
          <w:lang w:val="en-US" w:eastAsia="zh-CN"/>
        </w:rPr>
        <w:t>中期检查、论文上传、</w:t>
      </w:r>
      <w:r>
        <w:rPr>
          <w:rFonts w:hint="eastAsia" w:ascii="仿宋_GB2312" w:hAnsi="仿宋" w:eastAsia="仿宋_GB2312" w:cstheme="minorBidi"/>
          <w:sz w:val="32"/>
          <w:szCs w:val="32"/>
        </w:rPr>
        <w:t>文献复制比检测、评阅及答辩记录、评分管理</w:t>
      </w:r>
      <w:r>
        <w:rPr>
          <w:rFonts w:hint="eastAsia" w:ascii="仿宋_GB2312" w:hAnsi="仿宋" w:eastAsia="仿宋_GB2312" w:cstheme="minorBidi"/>
          <w:sz w:val="32"/>
          <w:szCs w:val="32"/>
          <w:lang w:eastAsia="zh-CN"/>
        </w:rPr>
        <w:t>、</w:t>
      </w:r>
      <w:r>
        <w:rPr>
          <w:rFonts w:hint="eastAsia" w:ascii="仿宋_GB2312" w:hAnsi="仿宋" w:eastAsia="仿宋_GB2312" w:cstheme="minorBidi"/>
          <w:sz w:val="32"/>
          <w:szCs w:val="32"/>
          <w:lang w:val="en-US" w:eastAsia="zh-CN"/>
        </w:rPr>
        <w:t>最终稿上传检测</w:t>
      </w:r>
      <w:r>
        <w:rPr>
          <w:rFonts w:hint="eastAsia" w:ascii="仿宋_GB2312" w:hAnsi="仿宋" w:eastAsia="仿宋_GB2312" w:cstheme="minorBidi"/>
          <w:sz w:val="32"/>
          <w:szCs w:val="32"/>
        </w:rPr>
        <w:t>等事项）须在系统内完成。目前已开通</w:t>
      </w:r>
      <w:r>
        <w:rPr>
          <w:rFonts w:hint="eastAsia" w:ascii="仿宋_GB2312" w:hAnsi="仿宋" w:eastAsia="仿宋_GB2312" w:cstheme="minorBidi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theme="minorBidi"/>
          <w:sz w:val="32"/>
          <w:szCs w:val="32"/>
        </w:rPr>
        <w:t>届管理系统，登录页面后，点击“学年：</w:t>
      </w:r>
      <w:r>
        <w:rPr>
          <w:rFonts w:hint="eastAsia" w:ascii="仿宋_GB2312" w:hAnsi="仿宋" w:eastAsia="仿宋_GB2312" w:cstheme="minorBidi"/>
          <w:sz w:val="32"/>
          <w:szCs w:val="32"/>
          <w:lang w:eastAsia="zh-CN"/>
        </w:rPr>
        <w:t>2023</w:t>
      </w:r>
      <w:r>
        <w:rPr>
          <w:rFonts w:hint="eastAsia" w:ascii="仿宋_GB2312" w:hAnsi="仿宋" w:eastAsia="仿宋_GB2312" w:cstheme="minorBidi"/>
          <w:sz w:val="32"/>
          <w:szCs w:val="32"/>
        </w:rPr>
        <w:t>-</w:t>
      </w:r>
      <w:r>
        <w:rPr>
          <w:rFonts w:hint="eastAsia" w:ascii="仿宋_GB2312" w:hAnsi="仿宋" w:eastAsia="仿宋_GB2312" w:cstheme="minorBidi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theme="minorBidi"/>
          <w:sz w:val="32"/>
          <w:szCs w:val="32"/>
        </w:rPr>
        <w:t>”选择相应角色。即可进入。</w:t>
      </w:r>
    </w:p>
    <w:p>
      <w:pPr>
        <w:spacing w:line="600" w:lineRule="exact"/>
        <w:ind w:firstLine="640" w:firstLineChars="200"/>
        <w:rPr>
          <w:rFonts w:ascii="仿宋" w:hAnsi="仿宋" w:eastAsia="仿宋" w:cs="Helvetica"/>
          <w:color w:val="333333"/>
          <w:sz w:val="32"/>
          <w:szCs w:val="32"/>
          <w:lang w:val="en"/>
        </w:rPr>
      </w:pPr>
      <w:r>
        <w:rPr>
          <w:rFonts w:hint="eastAsia" w:ascii="仿宋" w:hAnsi="仿宋" w:eastAsia="仿宋" w:cs="Helvetica"/>
          <w:color w:val="333333"/>
          <w:sz w:val="32"/>
          <w:szCs w:val="32"/>
          <w:lang w:val="en"/>
        </w:rPr>
        <w:t>各学院应加强对指导教师的培训和管理，保证录入信息的完整性和准确性。</w:t>
      </w:r>
    </w:p>
    <w:p>
      <w:pPr>
        <w:spacing w:line="600" w:lineRule="exact"/>
        <w:ind w:firstLine="640" w:firstLineChars="200"/>
        <w:rPr>
          <w:rFonts w:hint="eastAsia" w:ascii="仿宋" w:hAnsi="仿宋" w:eastAsia="仿宋" w:cs="Helvetica"/>
          <w:color w:val="333333"/>
          <w:sz w:val="32"/>
          <w:szCs w:val="32"/>
          <w:lang w:val="en" w:eastAsia="zh-CN"/>
        </w:rPr>
      </w:pPr>
      <w:r>
        <w:rPr>
          <w:rFonts w:hint="eastAsia" w:ascii="仿宋" w:hAnsi="仿宋" w:eastAsia="仿宋" w:cs="Helvetica"/>
          <w:color w:val="333333"/>
          <w:sz w:val="32"/>
          <w:szCs w:val="32"/>
          <w:lang w:val="en"/>
        </w:rPr>
        <w:t>（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"/>
        </w:rPr>
        <w:t>）教师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-US" w:eastAsia="zh-CN"/>
        </w:rPr>
        <w:t>的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"/>
        </w:rPr>
        <w:t>账号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-US" w:eastAsia="zh-CN"/>
        </w:rPr>
        <w:t>为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"/>
        </w:rPr>
        <w:t>工号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" w:eastAsia="zh-CN"/>
        </w:rPr>
        <w:t>，默认初始密码：</w:t>
      </w:r>
      <w:r>
        <w:rPr>
          <w:rFonts w:hint="eastAsia" w:ascii="仿宋" w:hAnsi="仿宋" w:eastAsia="仿宋" w:cs="Helvetica"/>
          <w:color w:val="0070C0"/>
          <w:sz w:val="32"/>
          <w:szCs w:val="32"/>
          <w:lang w:val="en" w:eastAsia="zh-CN"/>
        </w:rPr>
        <w:t>@123456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" w:eastAsia="zh-CN"/>
        </w:rPr>
        <w:t>。</w:t>
      </w:r>
    </w:p>
    <w:p>
      <w:pPr>
        <w:spacing w:line="600" w:lineRule="exact"/>
        <w:ind w:firstLine="640" w:firstLineChars="200"/>
        <w:rPr>
          <w:rFonts w:hint="eastAsia" w:ascii="仿宋" w:hAnsi="仿宋" w:eastAsia="仿宋" w:cs="Helvetica"/>
          <w:color w:val="E54C5E" w:themeColor="accent6"/>
          <w:kern w:val="0"/>
          <w:sz w:val="32"/>
          <w:szCs w:val="32"/>
          <w:u w:val="none"/>
          <w:lang w:val="en" w:eastAsia="zh-CN" w:bidi="ar"/>
          <w14:textFill>
            <w14:solidFill>
              <w14:schemeClr w14:val="accent6"/>
            </w14:solidFill>
          </w14:textFill>
        </w:rPr>
      </w:pPr>
      <w:r>
        <w:rPr>
          <w:rFonts w:hint="eastAsia" w:ascii="仿宋" w:hAnsi="仿宋" w:eastAsia="仿宋" w:cs="Helvetica"/>
          <w:color w:val="333333"/>
          <w:sz w:val="32"/>
          <w:szCs w:val="32"/>
          <w:lang w:val="en"/>
        </w:rPr>
        <w:t>（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Helvetica"/>
          <w:color w:val="333333"/>
          <w:sz w:val="32"/>
          <w:szCs w:val="32"/>
          <w:lang w:val="en"/>
        </w:rPr>
        <w:t>）学生的账号为学号</w:t>
      </w:r>
      <w:r>
        <w:rPr>
          <w:rFonts w:hint="eastAsia" w:ascii="仿宋" w:hAnsi="仿宋" w:eastAsia="仿宋" w:cs="Helvetica"/>
          <w:color w:val="auto"/>
          <w:sz w:val="32"/>
          <w:szCs w:val="32"/>
          <w:lang w:val="en"/>
        </w:rPr>
        <w:t>，默认初始密码：</w:t>
      </w:r>
      <w:r>
        <w:rPr>
          <w:rFonts w:hint="eastAsia" w:ascii="仿宋" w:hAnsi="仿宋" w:eastAsia="仿宋" w:cs="Helvetica"/>
          <w:color w:val="0070C0"/>
          <w:sz w:val="32"/>
          <w:szCs w:val="32"/>
          <w:lang w:val="en"/>
        </w:rPr>
        <w:t>@123456</w:t>
      </w:r>
      <w:r>
        <w:rPr>
          <w:rFonts w:hint="eastAsia" w:ascii="仿宋" w:hAnsi="仿宋" w:eastAsia="仿宋" w:cs="Helvetica"/>
          <w:color w:val="auto"/>
          <w:sz w:val="32"/>
          <w:szCs w:val="32"/>
          <w:lang w:val="en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  <w:lang w:val="en-US" w:eastAsia="zh-CN"/>
        </w:rPr>
        <w:t>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  <w:t>、各专业毕业设计（论文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  <w:lang w:eastAsia="zh-CN"/>
        </w:rPr>
        <w:t>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  <w:t>形式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根据《普通高等学校本科专业类教学质量国家标准》，各专业学生的毕业设计（论文）具体形式如下：</w:t>
      </w:r>
    </w:p>
    <w:tbl>
      <w:tblPr>
        <w:tblStyle w:val="3"/>
        <w:tblW w:w="9067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2182"/>
        <w:gridCol w:w="2588"/>
        <w:gridCol w:w="364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序号</w:t>
            </w:r>
          </w:p>
        </w:tc>
        <w:tc>
          <w:tcPr>
            <w:tcW w:w="21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专业名称</w:t>
            </w:r>
          </w:p>
        </w:tc>
        <w:tc>
          <w:tcPr>
            <w:tcW w:w="25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毕业设计（论文）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形式</w:t>
            </w:r>
          </w:p>
        </w:tc>
        <w:tc>
          <w:tcPr>
            <w:tcW w:w="36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1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动画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动画专业毕业设计应以动画短片、漫画插画类作品为主。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2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数字媒体艺术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数字媒体艺术专业毕业设计应以数字特效短片、交互类作品为主。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3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4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土木工程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5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建筑学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6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视觉传达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7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服装与服饰设计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8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服装设计与工程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9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产品设计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10</w:t>
            </w:r>
          </w:p>
        </w:tc>
        <w:tc>
          <w:tcPr>
            <w:tcW w:w="21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艺术教育</w:t>
            </w:r>
          </w:p>
        </w:tc>
        <w:tc>
          <w:tcPr>
            <w:tcW w:w="25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毕业论文</w:t>
            </w:r>
          </w:p>
        </w:tc>
        <w:tc>
          <w:tcPr>
            <w:tcW w:w="36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11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学前教育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毕业论文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12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舞蹈表演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毕业展演+毕业展演文案综述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13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绘画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kern w:val="0"/>
                <w:sz w:val="24"/>
                <w:u w:val="none"/>
                <w:lang w:val="en-US" w:eastAsia="zh-CN" w:bidi="ar"/>
              </w:rPr>
              <w:t>毕业创作+毕业论文（与创作相关）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14</w:t>
            </w:r>
          </w:p>
        </w:tc>
        <w:tc>
          <w:tcPr>
            <w:tcW w:w="21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摄影</w:t>
            </w:r>
          </w:p>
        </w:tc>
        <w:tc>
          <w:tcPr>
            <w:tcW w:w="25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kern w:val="0"/>
                <w:sz w:val="24"/>
                <w:u w:val="none"/>
                <w:lang w:val="en-US" w:eastAsia="zh-CN" w:bidi="ar"/>
              </w:rPr>
              <w:t>毕业创作+毕业论文（与创作相关）</w:t>
            </w:r>
          </w:p>
        </w:tc>
        <w:tc>
          <w:tcPr>
            <w:tcW w:w="36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15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雕塑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kern w:val="0"/>
                <w:sz w:val="24"/>
                <w:u w:val="none"/>
                <w:lang w:val="en-US" w:eastAsia="zh-CN" w:bidi="ar"/>
              </w:rPr>
              <w:t>毕业创作+毕业论文（与创作相关）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播音与主持艺术</w:t>
            </w:r>
          </w:p>
        </w:tc>
        <w:tc>
          <w:tcPr>
            <w:tcW w:w="2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哲学</w:t>
            </w:r>
          </w:p>
        </w:tc>
        <w:tc>
          <w:tcPr>
            <w:tcW w:w="2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毕业论文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汉语言文学</w:t>
            </w:r>
          </w:p>
        </w:tc>
        <w:tc>
          <w:tcPr>
            <w:tcW w:w="2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毕业论文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毕业论文、设计报告写作的具体要求详见附件1《北海艺术设计学院毕业设计（论文）管理办法》中的《北海艺术设计学院毕业设计（论文）撰写规范要求》。毕业论文总字数不低于6000字，设计报告总字数不低于5000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毕业论文（设计、创作）和相关设计报告的具体内容，请各二级学院根据《普通高等学校本科专业类教学质量国家标准》的相关内容进行细化；毕业创作作品的具体规格及要求由</w:t>
      </w: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32"/>
          <w:szCs w:val="32"/>
          <w:u w:val="none"/>
          <w:lang w:val="en-US" w:eastAsia="zh-CN" w:bidi="ar"/>
        </w:rPr>
        <w:t>各二级学院根据本专业特点制订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  <w:t>、日程安排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整体日程安排详见附件2，各二级学院可在保证按时完成毕业设计（论文）工作的前提下，与北京实践基地办公室协商，确定本学院工作日程。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未尽事宜，请与教务处联系。联系人：周蕾；联系电话：15078907969。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  <w:t>、及时报送材料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</w:rPr>
        <w:t>（一）各二级学院应通过学生本人、指导教师、班主任、学生干部等，主动收集毕业设计（论文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</w:rPr>
        <w:t>相关材料及图片等，做好材料归档工作。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</w:rPr>
        <w:t>（二）报送教务处材料：本科毕业设计（论文）信息汇总表、学院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  <w:lang w:val="en-US" w:eastAsia="zh-CN"/>
        </w:rPr>
        <w:t>2024届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</w:rPr>
        <w:t>毕业设计（论文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</w:rPr>
        <w:t>工作总结。202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  <w:lang w:val="en-US" w:eastAsia="zh-CN"/>
        </w:rPr>
        <w:t>4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</w:rPr>
        <w:t>年6月25日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前报送邮箱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  <w:lang w:val="en-US" w:eastAsia="zh-CN"/>
        </w:rPr>
        <w:t>58472116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</w:rPr>
        <w:t>@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  <w:lang w:val="en-US" w:eastAsia="zh-CN"/>
        </w:rPr>
        <w:t>qq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u w:val="none"/>
        </w:rPr>
        <w:t>.com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，标题及文件名为“××学院2024届毕业设计（论文）材料”。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（三）各相关二级学院应按要求及时整理毕业设计（论文）档案，保证归档材料的完整性、规范性。所有报送教务处的材料各相关二级学院均需存档。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（四）学校将组织有关专家对答辩通过的毕业设计（论文）质量进行抽查，一旦发现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highlight w:val="none"/>
          <w:u w:val="none"/>
          <w:lang w:val="en-US" w:eastAsia="zh-CN" w:bidi="ar"/>
        </w:rPr>
        <w:t>“问题毕业设计（论文）”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  <w:t>将会启动责任倒查机制，追究相关人员责任。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8" w:leftChars="304" w:hanging="1280" w:hangingChars="4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附件：1.北海艺术学院2024届本科毕业设计（论文）指导书</w:t>
      </w:r>
    </w:p>
    <w:p>
      <w:pPr>
        <w:keepNext w:val="0"/>
        <w:keepLines w:val="0"/>
        <w:pageBreakBefore w:val="0"/>
        <w:numPr>
          <w:ilvl w:val="0"/>
          <w:numId w:val="0"/>
        </w:numPr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958" w:leftChars="456" w:firstLine="64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2.北海艺术设计学院2024届本科毕业设计（论文）</w:t>
      </w:r>
    </w:p>
    <w:p>
      <w:pPr>
        <w:keepNext w:val="0"/>
        <w:keepLines w:val="0"/>
        <w:pageBreakBefore w:val="0"/>
        <w:numPr>
          <w:ilvl w:val="0"/>
          <w:numId w:val="0"/>
        </w:numPr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958" w:leftChars="456" w:firstLine="960" w:firstLineChars="3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相关工作日程安排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480" w:firstLineChars="14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480" w:firstLineChars="14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480" w:firstLineChars="14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北海艺术设计学院教务处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960" w:firstLineChars="155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202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  <w:lang w:val="en-US" w:eastAsia="zh-CN"/>
        </w:rPr>
        <w:t>3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年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  <w:lang w:val="en-US" w:eastAsia="zh-CN"/>
        </w:rPr>
        <w:t>5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  <w:lang w:val="en-US" w:eastAsia="zh-CN"/>
        </w:rPr>
        <w:t>25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日</w:t>
      </w:r>
    </w:p>
    <w:p>
      <w:pPr>
        <w:rPr>
          <w:u w:val="none"/>
        </w:rPr>
      </w:pPr>
    </w:p>
    <w:p/>
    <w:sectPr>
      <w:headerReference r:id="rId3" w:type="default"/>
      <w:pgSz w:w="11906" w:h="16838"/>
      <w:pgMar w:top="1701" w:right="1587" w:bottom="1701" w:left="1587" w:header="851" w:footer="992" w:gutter="0"/>
      <w:pgNumType w:start="307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C1DAD0C-1803-4A49-8BCF-29AFECE6A61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3C9CDA7-020A-49F0-ACB4-F214438F4B02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F08FEB49-7744-414D-9D3A-B55050BD58E6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1FC61029-F44D-4EA0-AD30-36CA8C31FFB8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00499E94-3FF2-4F71-9D97-EB47F06DC08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04269745-F8AA-47B0-9972-B06118C2E426}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  <w:embedRegular r:id="rId7" w:fontKey="{E9FDFB44-BF34-4F1A-AA88-39EF90AE2D87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35023F35"/>
    <w:rsid w:val="27C55A4B"/>
    <w:rsid w:val="2E613BD5"/>
    <w:rsid w:val="35023F35"/>
    <w:rsid w:val="410B64DE"/>
    <w:rsid w:val="5A291AE4"/>
    <w:rsid w:val="7E59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2023-09-26T09:28:00Z</dcterms:created>
  <dc:creator>东宫小永宁</dc:creator>
  <cp:lastModifiedBy>阿健哥</cp:lastModifiedBy>
  <dcterms:modified xsi:type="dcterms:W3CDTF">2023-12-11T02:29:24Z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5FF876E11F874A70ABBDD1DE784EE51A_11</vt:lpwstr>
  </property>
</Properties>
</file>