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distribute"/>
        <w:rPr>
          <w:rFonts w:ascii="Times New Roman" w:hAnsi="Times New Roman" w:eastAsia="方正小标宋简体" w:cs="Times New Roman"/>
          <w:sz w:val="56"/>
          <w:szCs w:val="56"/>
        </w:rPr>
      </w:pPr>
      <w:r>
        <w:rPr>
          <w:rFonts w:ascii="Times New Roman" w:hAnsi="Times New Roman" w:eastAsia="方正小标宋简体" w:cs="Times New Roman"/>
          <w:b/>
          <w:color w:val="FF0000"/>
          <w:sz w:val="56"/>
          <w:szCs w:val="56"/>
        </w:rPr>
        <w:t>中共北海艺术设计学院委员会文件</w:t>
      </w:r>
    </w:p>
    <w:p>
      <w:pPr>
        <w:spacing w:line="400" w:lineRule="exact"/>
        <w:ind w:firstLine="320" w:firstLineChars="100"/>
        <w:rPr>
          <w:rFonts w:ascii="Times New Roman" w:hAnsi="Times New Roman" w:eastAsia="楷体" w:cs="Times New Roman"/>
          <w:sz w:val="32"/>
          <w:szCs w:val="32"/>
        </w:rPr>
      </w:pPr>
      <w:r>
        <w:rPr>
          <w:rFonts w:ascii="Times New Roman" w:hAnsi="Times New Roman" w:eastAsia="方正仿宋简体" w:cs="Times New Roman"/>
          <w:sz w:val="32"/>
          <w:szCs w:val="32"/>
        </w:rPr>
        <w:t>北艺党宣〔2022〕1</w:t>
      </w:r>
      <w:r>
        <w:rPr>
          <w:rFonts w:hint="eastAsia" w:ascii="Times New Roman" w:hAnsi="Times New Roman" w:eastAsia="方正仿宋简体" w:cs="Times New Roman"/>
          <w:sz w:val="32"/>
          <w:szCs w:val="32"/>
          <w:lang w:val="en-US" w:eastAsia="zh-CN"/>
        </w:rPr>
        <w:t>5</w:t>
      </w:r>
      <w:r>
        <w:rPr>
          <w:rFonts w:ascii="Times New Roman" w:hAnsi="Times New Roman" w:eastAsia="方正仿宋简体" w:cs="Times New Roman"/>
          <w:sz w:val="32"/>
          <w:szCs w:val="32"/>
        </w:rPr>
        <w:t xml:space="preserve">号              签发人： </w:t>
      </w:r>
      <w:r>
        <w:rPr>
          <w:rFonts w:ascii="Times New Roman" w:hAnsi="Times New Roman" w:eastAsia="楷体" w:cs="Times New Roman"/>
          <w:sz w:val="32"/>
          <w:szCs w:val="32"/>
        </w:rPr>
        <w:t>张  阳</w:t>
      </w:r>
    </w:p>
    <w:p>
      <w:pPr>
        <w:spacing w:line="570" w:lineRule="exact"/>
        <w:rPr>
          <w:rFonts w:ascii="Times New Roman" w:hAnsi="Times New Roman" w:eastAsia="方正小标宋简体" w:cs="Times New Roman"/>
          <w:sz w:val="44"/>
          <w:szCs w:val="44"/>
        </w:rPr>
      </w:pPr>
      <w:r>
        <w:rPr>
          <w:rFonts w:ascii="Times New Roman" w:hAnsi="Times New Roman" w:eastAsia="方正小标宋_GBK" w:cs="Times New Roman"/>
          <w:bCs/>
          <w:sz w:val="36"/>
          <w:szCs w:val="36"/>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17145</wp:posOffset>
                </wp:positionV>
                <wp:extent cx="5486400" cy="2540"/>
                <wp:effectExtent l="0" t="20320" r="0" b="34290"/>
                <wp:wrapNone/>
                <wp:docPr id="1" name="直接箭头连接符 1"/>
                <wp:cNvGraphicFramePr/>
                <a:graphic xmlns:a="http://schemas.openxmlformats.org/drawingml/2006/main">
                  <a:graphicData uri="http://schemas.microsoft.com/office/word/2010/wordprocessingShape">
                    <wps:wsp>
                      <wps:cNvCnPr>
                        <a:cxnSpLocks noChangeShapeType="1"/>
                      </wps:cNvCnPr>
                      <wps:spPr bwMode="auto">
                        <a:xfrm>
                          <a:off x="0" y="0"/>
                          <a:ext cx="5486400" cy="2540"/>
                        </a:xfrm>
                        <a:prstGeom prst="straightConnector1">
                          <a:avLst/>
                        </a:prstGeom>
                        <a:noFill/>
                        <a:ln w="41275" cmpd="sng">
                          <a:solidFill>
                            <a:srgbClr val="FF0000"/>
                          </a:solidFill>
                          <a:round/>
                        </a:ln>
                        <a:effectLst/>
                      </wps:spPr>
                      <wps:bodyPr/>
                    </wps:wsp>
                  </a:graphicData>
                </a:graphic>
              </wp:anchor>
            </w:drawing>
          </mc:Choice>
          <mc:Fallback>
            <w:pict>
              <v:shape id="_x0000_s1026" o:spid="_x0000_s1026" o:spt="32" type="#_x0000_t32" style="position:absolute;left:0pt;margin-left:0pt;margin-top:1.35pt;height:0.2pt;width:432pt;z-index:251659264;mso-width-relative:page;mso-height-relative:page;" filled="f" stroked="t" coordsize="21600,21600" o:gfxdata="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CkwJ/1AAAAAQBAAAPAAAAAAAAAAEAIAAAACIAAABkcnMv&#10;ZG93bnJldi54bWxQSwECFAAUAAAACACHTuJAZ/HAvQcCAADbAwAADgAAAAAAAAABACAAAAAjAQAA&#10;ZHJzL2Uyb0RvYy54bWxQSwUGAAAAAAYABgBZAQAAnAUAAAAA&#10;">
                <v:fill on="f" focussize="0,0"/>
                <v:stroke weight="3.25pt" color="#FF0000" joinstyle="round"/>
                <v:imagedata o:title=""/>
                <o:lock v:ext="edit" aspectratio="f"/>
              </v:shape>
            </w:pict>
          </mc:Fallback>
        </mc:AlternateContent>
      </w:r>
    </w:p>
    <w:p>
      <w:pPr>
        <w:spacing w:line="570" w:lineRule="exac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关于印发《北海艺术设计学院“学习</w:t>
      </w:r>
      <w:r>
        <w:rPr>
          <w:rFonts w:hint="eastAsia" w:ascii="方正小标宋简体" w:hAnsi="方正小标宋简体" w:eastAsia="方正小标宋简体" w:cs="方正小标宋简体"/>
          <w:sz w:val="44"/>
          <w:szCs w:val="44"/>
        </w:rPr>
        <w:t>强国</w:t>
      </w:r>
      <w:r>
        <w:rPr>
          <w:rFonts w:hint="eastAsia" w:ascii="方正小标宋简体" w:hAnsi="方正小标宋简体" w:eastAsia="方正小标宋简体" w:cs="方正小标宋简体"/>
          <w:sz w:val="44"/>
          <w:szCs w:val="44"/>
          <w:lang w:eastAsia="zh-CN"/>
        </w:rPr>
        <w:t>”</w:t>
      </w:r>
    </w:p>
    <w:p>
      <w:pPr>
        <w:spacing w:line="57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积分奖惩办法</w:t>
      </w:r>
      <w:r>
        <w:rPr>
          <w:rFonts w:hint="eastAsia" w:ascii="方正小标宋简体" w:hAnsi="方正小标宋简体" w:eastAsia="方正小标宋简体" w:cs="方正小标宋简体"/>
          <w:sz w:val="44"/>
          <w:szCs w:val="44"/>
          <w:lang w:eastAsia="zh-CN"/>
        </w:rPr>
        <w:t>》的通知</w:t>
      </w:r>
    </w:p>
    <w:p>
      <w:pPr>
        <w:spacing w:line="570" w:lineRule="exact"/>
        <w:ind w:firstLine="723" w:firstLineChars="200"/>
        <w:jc w:val="center"/>
        <w:rPr>
          <w:rFonts w:ascii="方正仿宋简体" w:eastAsia="方正仿宋简体"/>
          <w:b/>
          <w:bCs/>
          <w:sz w:val="36"/>
          <w:szCs w:val="36"/>
        </w:rPr>
      </w:pPr>
    </w:p>
    <w:p>
      <w:pPr>
        <w:spacing w:line="570" w:lineRule="exact"/>
        <w:jc w:val="left"/>
        <w:rPr>
          <w:rFonts w:ascii="方正仿宋简体" w:eastAsia="方正仿宋简体"/>
          <w:sz w:val="32"/>
          <w:szCs w:val="32"/>
        </w:rPr>
      </w:pPr>
      <w:r>
        <w:rPr>
          <w:rFonts w:hint="eastAsia" w:ascii="方正仿宋简体" w:eastAsia="方正仿宋简体"/>
          <w:sz w:val="32"/>
          <w:szCs w:val="32"/>
        </w:rPr>
        <w:t>学校各单位、各基层党组织：</w:t>
      </w:r>
    </w:p>
    <w:p>
      <w:pPr>
        <w:spacing w:line="570" w:lineRule="exact"/>
        <w:ind w:firstLine="640" w:firstLineChars="200"/>
        <w:jc w:val="left"/>
        <w:rPr>
          <w:rFonts w:ascii="方正仿宋简体" w:eastAsia="方正仿宋简体"/>
          <w:sz w:val="32"/>
          <w:szCs w:val="32"/>
        </w:rPr>
      </w:pPr>
      <w:r>
        <w:rPr>
          <w:rFonts w:hint="eastAsia" w:ascii="方正仿宋简体" w:eastAsia="方正仿宋简体"/>
          <w:sz w:val="32"/>
          <w:szCs w:val="32"/>
        </w:rPr>
        <w:t>为</w:t>
      </w:r>
      <w:r>
        <w:rPr>
          <w:rFonts w:hint="eastAsia" w:ascii="方正仿宋简体" w:eastAsia="方正仿宋简体"/>
          <w:sz w:val="32"/>
          <w:szCs w:val="32"/>
          <w:lang w:eastAsia="zh-CN"/>
        </w:rPr>
        <w:t>进一步</w:t>
      </w:r>
      <w:r>
        <w:rPr>
          <w:rFonts w:hint="eastAsia" w:ascii="方正仿宋简体" w:eastAsia="方正仿宋简体"/>
          <w:sz w:val="32"/>
          <w:szCs w:val="32"/>
        </w:rPr>
        <w:t>加强全校党员干部政治理论武装</w:t>
      </w:r>
      <w:r>
        <w:rPr>
          <w:rFonts w:hint="eastAsia" w:ascii="方正仿宋简体" w:eastAsia="方正仿宋简体"/>
          <w:sz w:val="32"/>
          <w:szCs w:val="32"/>
          <w:lang w:eastAsia="zh-CN"/>
        </w:rPr>
        <w:t>，切</w:t>
      </w:r>
      <w:r>
        <w:rPr>
          <w:rFonts w:hint="eastAsia" w:ascii="方正仿宋简体" w:eastAsia="方正仿宋简体"/>
          <w:sz w:val="32"/>
          <w:szCs w:val="32"/>
        </w:rPr>
        <w:t>实利用好“学习强国”学习平台，引导广大党员干部学思践悟习近平新时代中国特色社会主义思想，推动党的创新理论深入人心。</w:t>
      </w:r>
      <w:r>
        <w:rPr>
          <w:rFonts w:hint="eastAsia" w:ascii="方正仿宋简体" w:eastAsia="方正仿宋简体"/>
          <w:sz w:val="32"/>
          <w:szCs w:val="32"/>
          <w:lang w:eastAsia="zh-CN"/>
        </w:rPr>
        <w:t>学校</w:t>
      </w:r>
      <w:r>
        <w:rPr>
          <w:rFonts w:hint="eastAsia" w:ascii="方正仿宋简体" w:eastAsia="方正仿宋简体"/>
          <w:sz w:val="32"/>
          <w:szCs w:val="32"/>
        </w:rPr>
        <w:t>制定</w:t>
      </w:r>
      <w:r>
        <w:rPr>
          <w:rFonts w:hint="eastAsia" w:ascii="方正仿宋简体" w:eastAsia="方正仿宋简体"/>
          <w:sz w:val="32"/>
          <w:szCs w:val="32"/>
          <w:lang w:eastAsia="zh-CN"/>
        </w:rPr>
        <w:t>了</w:t>
      </w:r>
      <w:r>
        <w:rPr>
          <w:rFonts w:hint="eastAsia" w:ascii="方正仿宋简体" w:eastAsia="方正仿宋简体"/>
          <w:sz w:val="32"/>
          <w:szCs w:val="32"/>
        </w:rPr>
        <w:t>《北海艺术设计学院 “学习强国”积分奖惩办法》</w:t>
      </w:r>
      <w:r>
        <w:rPr>
          <w:rFonts w:hint="eastAsia" w:ascii="方正仿宋简体" w:eastAsia="方正仿宋简体"/>
          <w:sz w:val="32"/>
          <w:szCs w:val="32"/>
          <w:lang w:eastAsia="zh-CN"/>
        </w:rPr>
        <w:t>，现</w:t>
      </w:r>
      <w:r>
        <w:rPr>
          <w:rFonts w:hint="eastAsia" w:ascii="方正仿宋简体" w:eastAsia="方正仿宋简体"/>
          <w:sz w:val="32"/>
          <w:szCs w:val="32"/>
        </w:rPr>
        <w:t>印发给你们</w:t>
      </w:r>
      <w:r>
        <w:rPr>
          <w:rFonts w:hint="eastAsia" w:ascii="方正仿宋简体" w:eastAsia="方正仿宋简体"/>
          <w:sz w:val="32"/>
          <w:szCs w:val="32"/>
          <w:lang w:eastAsia="zh-CN"/>
        </w:rPr>
        <w:t>，</w:t>
      </w:r>
      <w:r>
        <w:rPr>
          <w:rFonts w:hint="eastAsia" w:ascii="方正仿宋简体" w:eastAsia="方正仿宋简体"/>
          <w:sz w:val="32"/>
          <w:szCs w:val="32"/>
        </w:rPr>
        <w:t>请认真贯彻执行。</w:t>
      </w:r>
    </w:p>
    <w:p>
      <w:pPr>
        <w:spacing w:line="570" w:lineRule="exact"/>
        <w:ind w:firstLine="640" w:firstLineChars="200"/>
        <w:jc w:val="left"/>
        <w:rPr>
          <w:rFonts w:hint="eastAsia" w:ascii="方正仿宋简体" w:eastAsia="方正仿宋简体"/>
          <w:sz w:val="32"/>
          <w:szCs w:val="32"/>
        </w:rPr>
      </w:pPr>
    </w:p>
    <w:p>
      <w:pPr>
        <w:spacing w:line="570" w:lineRule="exact"/>
        <w:ind w:firstLine="640" w:firstLineChars="200"/>
        <w:jc w:val="left"/>
        <w:rPr>
          <w:rFonts w:hint="eastAsia" w:ascii="方正仿宋简体" w:eastAsia="方正仿宋简体"/>
          <w:sz w:val="32"/>
          <w:szCs w:val="32"/>
        </w:rPr>
      </w:pPr>
    </w:p>
    <w:p>
      <w:pPr>
        <w:spacing w:line="560" w:lineRule="exact"/>
        <w:ind w:firstLine="4480" w:firstLineChars="1400"/>
        <w:rPr>
          <w:rFonts w:ascii="方正仿宋简体" w:hAnsi="仿宋_GB2312" w:eastAsia="方正仿宋简体" w:cs="仿宋_GB2312"/>
          <w:sz w:val="32"/>
          <w:szCs w:val="32"/>
        </w:rPr>
      </w:pPr>
      <w:r>
        <w:rPr>
          <w:rFonts w:hint="eastAsia" w:ascii="方正仿宋简体" w:hAnsi="仿宋_GB2312" w:eastAsia="方正仿宋简体" w:cs="仿宋_GB2312"/>
          <w:sz w:val="32"/>
          <w:szCs w:val="32"/>
        </w:rPr>
        <w:t xml:space="preserve">中共北海艺术设计学院委员会 </w:t>
      </w:r>
    </w:p>
    <w:p>
      <w:pPr>
        <w:spacing w:line="560" w:lineRule="exact"/>
        <w:rPr>
          <w:rFonts w:ascii="方正仿宋简体" w:hAnsi="仿宋_GB2312" w:eastAsia="方正仿宋简体" w:cs="仿宋_GB2312"/>
          <w:sz w:val="32"/>
          <w:szCs w:val="32"/>
        </w:rPr>
      </w:pPr>
      <w:r>
        <w:rPr>
          <w:rFonts w:hint="eastAsia" w:ascii="方正仿宋简体" w:hAnsi="仿宋_GB2312" w:eastAsia="方正仿宋简体" w:cs="仿宋_GB2312"/>
          <w:sz w:val="32"/>
          <w:szCs w:val="32"/>
        </w:rPr>
        <w:t xml:space="preserve">                                </w:t>
      </w:r>
      <w:r>
        <w:rPr>
          <w:rFonts w:hint="default" w:ascii="Times New Roman" w:hAnsi="Times New Roman" w:eastAsia="方正仿宋简体" w:cs="Times New Roman"/>
          <w:sz w:val="32"/>
          <w:szCs w:val="32"/>
        </w:rPr>
        <w:t>202</w:t>
      </w:r>
      <w:r>
        <w:rPr>
          <w:rFonts w:hint="eastAsia" w:ascii="Times New Roman" w:hAnsi="Times New Roman" w:eastAsia="方正仿宋简体" w:cs="Times New Roman"/>
          <w:sz w:val="32"/>
          <w:szCs w:val="32"/>
          <w:lang w:val="en-US" w:eastAsia="zh-CN"/>
        </w:rPr>
        <w:t>2</w:t>
      </w:r>
      <w:r>
        <w:rPr>
          <w:rFonts w:hint="eastAsia" w:ascii="方正仿宋简体" w:hAnsi="仿宋_GB2312" w:eastAsia="方正仿宋简体" w:cs="仿宋_GB2312"/>
          <w:sz w:val="32"/>
          <w:szCs w:val="32"/>
        </w:rPr>
        <w:t>年</w:t>
      </w:r>
      <w:r>
        <w:rPr>
          <w:rFonts w:hint="default" w:ascii="Times New Roman" w:hAnsi="Times New Roman" w:eastAsia="方正仿宋简体" w:cs="Times New Roman"/>
          <w:sz w:val="32"/>
          <w:szCs w:val="32"/>
        </w:rPr>
        <w:t>1</w:t>
      </w:r>
      <w:r>
        <w:rPr>
          <w:rFonts w:hint="eastAsia" w:ascii="Times New Roman" w:hAnsi="Times New Roman" w:eastAsia="方正仿宋简体" w:cs="Times New Roman"/>
          <w:sz w:val="32"/>
          <w:szCs w:val="32"/>
          <w:lang w:val="en-US" w:eastAsia="zh-CN"/>
        </w:rPr>
        <w:t>2</w:t>
      </w:r>
      <w:r>
        <w:rPr>
          <w:rFonts w:hint="eastAsia" w:ascii="方正仿宋简体" w:hAnsi="仿宋_GB2312" w:eastAsia="方正仿宋简体" w:cs="仿宋_GB2312"/>
          <w:sz w:val="32"/>
          <w:szCs w:val="32"/>
        </w:rPr>
        <w:t>月</w:t>
      </w:r>
      <w:r>
        <w:rPr>
          <w:rFonts w:hint="default" w:ascii="Times New Roman" w:hAnsi="Times New Roman" w:eastAsia="方正仿宋简体" w:cs="Times New Roman"/>
          <w:sz w:val="32"/>
          <w:szCs w:val="32"/>
          <w:lang w:val="en-US" w:eastAsia="zh-CN"/>
        </w:rPr>
        <w:t>1</w:t>
      </w:r>
      <w:r>
        <w:rPr>
          <w:rFonts w:hint="eastAsia" w:ascii="方正仿宋简体" w:hAnsi="仿宋_GB2312" w:eastAsia="方正仿宋简体" w:cs="仿宋_GB2312"/>
          <w:sz w:val="32"/>
          <w:szCs w:val="32"/>
        </w:rPr>
        <w:t>日</w:t>
      </w:r>
    </w:p>
    <w:p>
      <w:pPr>
        <w:spacing w:line="570" w:lineRule="exact"/>
        <w:jc w:val="center"/>
        <w:rPr>
          <w:rFonts w:hint="eastAsia" w:ascii="方正小标宋简体" w:hAnsi="方正小标宋简体" w:eastAsia="方正小标宋简体" w:cs="方正小标宋简体"/>
          <w:sz w:val="44"/>
          <w:szCs w:val="44"/>
        </w:rPr>
      </w:pPr>
    </w:p>
    <w:p>
      <w:pPr>
        <w:spacing w:line="570" w:lineRule="exact"/>
        <w:jc w:val="center"/>
        <w:rPr>
          <w:rFonts w:hint="eastAsia" w:ascii="方正小标宋简体" w:hAnsi="方正小标宋简体" w:eastAsia="方正小标宋简体" w:cs="方正小标宋简体"/>
          <w:sz w:val="44"/>
          <w:szCs w:val="44"/>
        </w:rPr>
      </w:pPr>
    </w:p>
    <w:p>
      <w:pPr>
        <w:spacing w:line="570" w:lineRule="exact"/>
        <w:jc w:val="center"/>
        <w:rPr>
          <w:rFonts w:hint="eastAsia" w:ascii="方正小标宋简体" w:hAnsi="方正小标宋简体" w:eastAsia="方正小标宋简体" w:cs="方正小标宋简体"/>
          <w:sz w:val="44"/>
          <w:szCs w:val="44"/>
        </w:rPr>
      </w:pPr>
    </w:p>
    <w:p>
      <w:pPr>
        <w:spacing w:line="570" w:lineRule="exact"/>
        <w:jc w:val="center"/>
        <w:rPr>
          <w:rFonts w:hint="eastAsia" w:ascii="方正小标宋简体" w:hAnsi="方正小标宋简体" w:eastAsia="方正小标宋简体" w:cs="方正小标宋简体"/>
          <w:sz w:val="44"/>
          <w:szCs w:val="44"/>
        </w:rPr>
      </w:pPr>
    </w:p>
    <w:p>
      <w:pPr>
        <w:spacing w:line="570" w:lineRule="exact"/>
        <w:jc w:val="center"/>
        <w:rPr>
          <w:rFonts w:hint="eastAsia" w:ascii="方正小标宋简体" w:hAnsi="方正小标宋简体" w:eastAsia="方正小标宋简体" w:cs="方正小标宋简体"/>
          <w:sz w:val="44"/>
          <w:szCs w:val="44"/>
        </w:rPr>
      </w:pPr>
    </w:p>
    <w:p>
      <w:pPr>
        <w:spacing w:line="570" w:lineRule="exact"/>
        <w:jc w:val="center"/>
        <w:rPr>
          <w:rFonts w:hint="eastAsia" w:ascii="方正小标宋简体" w:hAnsi="方正小标宋简体" w:eastAsia="方正小标宋简体" w:cs="方正小标宋简体"/>
          <w:sz w:val="44"/>
          <w:szCs w:val="44"/>
        </w:rPr>
      </w:pPr>
    </w:p>
    <w:p>
      <w:pPr>
        <w:spacing w:line="570" w:lineRule="exact"/>
        <w:jc w:val="both"/>
        <w:rPr>
          <w:rFonts w:hint="eastAsia" w:ascii="方正小标宋简体" w:hAnsi="方正小标宋简体" w:eastAsia="方正小标宋简体" w:cs="方正小标宋简体"/>
          <w:sz w:val="44"/>
          <w:szCs w:val="44"/>
        </w:rPr>
      </w:pPr>
    </w:p>
    <w:p>
      <w:pPr>
        <w:spacing w:line="57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北海艺术设计学院“学习强国”积分奖惩办法</w:t>
      </w:r>
    </w:p>
    <w:p>
      <w:pPr>
        <w:spacing w:line="570" w:lineRule="exact"/>
        <w:jc w:val="center"/>
        <w:rPr>
          <w:rFonts w:ascii="方正小标宋简体" w:hAnsi="方正小标宋简体" w:eastAsia="方正小标宋简体" w:cs="方正小标宋简体"/>
          <w:sz w:val="44"/>
          <w:szCs w:val="44"/>
        </w:rPr>
      </w:pPr>
    </w:p>
    <w:p>
      <w:pPr>
        <w:spacing w:line="570" w:lineRule="exact"/>
        <w:jc w:val="center"/>
        <w:rPr>
          <w:rFonts w:ascii="方正仿宋简体" w:eastAsia="方正仿宋简体"/>
          <w:sz w:val="32"/>
          <w:szCs w:val="32"/>
        </w:rPr>
      </w:pPr>
      <w:r>
        <w:rPr>
          <w:rFonts w:hint="eastAsia" w:ascii="黑体" w:hAnsi="黑体" w:eastAsia="黑体"/>
          <w:sz w:val="32"/>
          <w:szCs w:val="32"/>
        </w:rPr>
        <w:t>第一</w:t>
      </w:r>
      <w:bookmarkStart w:id="0" w:name="_GoBack"/>
      <w:bookmarkEnd w:id="0"/>
      <w:r>
        <w:rPr>
          <w:rFonts w:hint="eastAsia" w:ascii="黑体" w:hAnsi="黑体" w:eastAsia="黑体"/>
          <w:sz w:val="32"/>
          <w:szCs w:val="32"/>
        </w:rPr>
        <w:t>章  总则</w:t>
      </w:r>
    </w:p>
    <w:p>
      <w:pPr>
        <w:spacing w:line="570" w:lineRule="exact"/>
        <w:ind w:firstLine="643" w:firstLineChars="200"/>
        <w:rPr>
          <w:rFonts w:ascii="方正仿宋简体" w:eastAsia="方正仿宋简体"/>
          <w:sz w:val="32"/>
          <w:szCs w:val="32"/>
        </w:rPr>
      </w:pPr>
      <w:r>
        <w:rPr>
          <w:rFonts w:hint="eastAsia" w:ascii="方正仿宋简体" w:eastAsia="方正仿宋简体"/>
          <w:b/>
          <w:sz w:val="32"/>
          <w:szCs w:val="32"/>
        </w:rPr>
        <w:t>第一条</w:t>
      </w:r>
      <w:r>
        <w:rPr>
          <w:rFonts w:hint="eastAsia" w:ascii="方正仿宋简体" w:eastAsia="方正仿宋简体"/>
          <w:sz w:val="32"/>
          <w:szCs w:val="32"/>
        </w:rPr>
        <w:t xml:space="preserve">  “</w:t>
      </w:r>
      <w:r>
        <w:rPr>
          <w:rFonts w:ascii="方正仿宋简体" w:eastAsia="方正仿宋简体"/>
          <w:sz w:val="32"/>
          <w:szCs w:val="32"/>
        </w:rPr>
        <w:t>学习强国</w:t>
      </w:r>
      <w:r>
        <w:rPr>
          <w:rFonts w:hint="eastAsia" w:ascii="方正仿宋简体" w:eastAsia="方正仿宋简体"/>
          <w:sz w:val="32"/>
          <w:szCs w:val="32"/>
        </w:rPr>
        <w:t>”</w:t>
      </w:r>
      <w:r>
        <w:rPr>
          <w:rFonts w:ascii="方正仿宋简体" w:eastAsia="方正仿宋简体"/>
          <w:sz w:val="32"/>
          <w:szCs w:val="32"/>
        </w:rPr>
        <w:t>学习平台，是贯彻落实习近平总书记关于加强学习、建设学习大国重要指示精神、推动全党大学习的有力抓手，是新形势下强化理论武装和思想教育的创新探索，是推动习近平新时代中国特色社会主义思想学习宣传贯彻不断深入的重要举措。为强化习近平新时代中国特色社会主义思想的学习，激发党员干部和广大师生大抓学习的积极性，鼓励师生用</w:t>
      </w:r>
      <w:r>
        <w:rPr>
          <w:rFonts w:hint="eastAsia" w:ascii="方正仿宋简体" w:eastAsia="方正仿宋简体"/>
          <w:sz w:val="32"/>
          <w:szCs w:val="32"/>
        </w:rPr>
        <w:t>好“学习强国”学</w:t>
      </w:r>
      <w:r>
        <w:rPr>
          <w:rFonts w:ascii="方正仿宋简体" w:eastAsia="方正仿宋简体"/>
          <w:sz w:val="32"/>
          <w:szCs w:val="32"/>
        </w:rPr>
        <w:t>习平台，特制定本办法。</w:t>
      </w:r>
    </w:p>
    <w:p>
      <w:pPr>
        <w:spacing w:line="570" w:lineRule="exact"/>
        <w:ind w:firstLine="630"/>
        <w:rPr>
          <w:rFonts w:ascii="方正仿宋简体" w:eastAsia="方正仿宋简体"/>
          <w:sz w:val="32"/>
          <w:szCs w:val="32"/>
        </w:rPr>
      </w:pPr>
      <w:r>
        <w:rPr>
          <w:rFonts w:hint="eastAsia" w:ascii="方正仿宋简体" w:eastAsia="方正仿宋简体"/>
          <w:b/>
          <w:sz w:val="32"/>
          <w:szCs w:val="32"/>
        </w:rPr>
        <w:t>第二条</w:t>
      </w:r>
      <w:r>
        <w:rPr>
          <w:rFonts w:hint="eastAsia" w:ascii="方正仿宋简体" w:eastAsia="方正仿宋简体"/>
          <w:sz w:val="32"/>
          <w:szCs w:val="32"/>
        </w:rPr>
        <w:t xml:space="preserve">  本办法适用对象为学校在校师生员工中下载注册了“学习强国”学习平台的人员，包括师生党员</w:t>
      </w:r>
      <w:r>
        <w:rPr>
          <w:rFonts w:hint="eastAsia" w:ascii="方正仿宋简体" w:eastAsia="方正仿宋简体"/>
          <w:sz w:val="32"/>
          <w:szCs w:val="32"/>
          <w:lang w:eastAsia="zh-CN"/>
        </w:rPr>
        <w:t>（</w:t>
      </w:r>
      <w:r>
        <w:rPr>
          <w:rFonts w:hint="eastAsia" w:ascii="方正仿宋简体" w:eastAsia="方正仿宋简体"/>
          <w:sz w:val="32"/>
          <w:szCs w:val="32"/>
        </w:rPr>
        <w:t>含预备党员</w:t>
      </w:r>
      <w:r>
        <w:rPr>
          <w:rFonts w:hint="eastAsia" w:ascii="方正仿宋简体" w:eastAsia="方正仿宋简体"/>
          <w:sz w:val="32"/>
          <w:szCs w:val="32"/>
          <w:lang w:eastAsia="zh-CN"/>
        </w:rPr>
        <w:t>）</w:t>
      </w:r>
      <w:r>
        <w:rPr>
          <w:rFonts w:ascii="方正仿宋简体" w:eastAsia="方正仿宋简体"/>
          <w:sz w:val="32"/>
          <w:szCs w:val="32"/>
        </w:rPr>
        <w:t>、发展对象、入党积极分子以及普通师生</w:t>
      </w:r>
      <w:r>
        <w:rPr>
          <w:rFonts w:hint="eastAsia" w:ascii="方正仿宋简体" w:eastAsia="方正仿宋简体"/>
          <w:sz w:val="32"/>
          <w:szCs w:val="32"/>
        </w:rPr>
        <w:t>。</w:t>
      </w:r>
    </w:p>
    <w:p>
      <w:pPr>
        <w:spacing w:line="570" w:lineRule="exact"/>
        <w:jc w:val="center"/>
        <w:rPr>
          <w:rFonts w:ascii="方正仿宋简体" w:eastAsia="方正仿宋简体"/>
          <w:sz w:val="32"/>
          <w:szCs w:val="32"/>
        </w:rPr>
      </w:pPr>
    </w:p>
    <w:p>
      <w:pPr>
        <w:spacing w:line="570" w:lineRule="exact"/>
        <w:jc w:val="center"/>
        <w:rPr>
          <w:rFonts w:ascii="黑体" w:hAnsi="黑体" w:eastAsia="黑体"/>
          <w:sz w:val="32"/>
          <w:szCs w:val="32"/>
        </w:rPr>
      </w:pPr>
      <w:r>
        <w:rPr>
          <w:rFonts w:hint="eastAsia" w:ascii="黑体" w:hAnsi="黑体" w:eastAsia="黑体"/>
          <w:sz w:val="32"/>
          <w:szCs w:val="32"/>
        </w:rPr>
        <w:t>第二章  注册及使用要求</w:t>
      </w:r>
    </w:p>
    <w:p>
      <w:pPr>
        <w:spacing w:line="570" w:lineRule="exact"/>
        <w:ind w:firstLine="630"/>
        <w:rPr>
          <w:rFonts w:ascii="方正仿宋简体" w:eastAsia="方正仿宋简体"/>
          <w:sz w:val="32"/>
          <w:szCs w:val="32"/>
        </w:rPr>
      </w:pPr>
      <w:r>
        <w:rPr>
          <w:rFonts w:hint="eastAsia" w:ascii="方正仿宋简体" w:eastAsia="方正仿宋简体"/>
          <w:b/>
          <w:sz w:val="32"/>
          <w:szCs w:val="32"/>
        </w:rPr>
        <w:t>第三条</w:t>
      </w:r>
      <w:r>
        <w:rPr>
          <w:rFonts w:hint="eastAsia" w:ascii="方正仿宋简体" w:eastAsia="方正仿宋简体"/>
          <w:sz w:val="32"/>
          <w:szCs w:val="32"/>
        </w:rPr>
        <w:t xml:space="preserve">  学校在册党员（含预备党员）必须下载注册“学习强国”学习平台，并加入组织关系所在党支部建立的“学习群组”。入党积极分子、发展对象需下载注册“学习强国”学习平台，以个人形式进行自主学习。鼓励普通师生下载“学习强国”学习平台，并实名注册，进行学习。</w:t>
      </w:r>
    </w:p>
    <w:p>
      <w:pPr>
        <w:spacing w:line="570" w:lineRule="exact"/>
        <w:ind w:firstLine="630"/>
        <w:rPr>
          <w:rFonts w:ascii="方正仿宋简体" w:eastAsia="方正仿宋简体"/>
          <w:sz w:val="32"/>
          <w:szCs w:val="32"/>
        </w:rPr>
      </w:pPr>
      <w:r>
        <w:rPr>
          <w:rFonts w:hint="eastAsia" w:ascii="方正仿宋简体" w:eastAsia="方正仿宋简体"/>
          <w:b/>
          <w:sz w:val="32"/>
          <w:szCs w:val="32"/>
        </w:rPr>
        <w:t>第四条</w:t>
      </w:r>
      <w:r>
        <w:rPr>
          <w:rFonts w:hint="eastAsia" w:ascii="方正仿宋简体" w:eastAsia="方正仿宋简体"/>
          <w:sz w:val="32"/>
          <w:szCs w:val="32"/>
        </w:rPr>
        <w:t xml:space="preserve">  </w:t>
      </w:r>
      <w:r>
        <w:rPr>
          <w:rFonts w:hint="eastAsia" w:ascii="Times New Roman" w:hAnsi="Times New Roman" w:eastAsia="方正仿宋简体" w:cs="Times New Roman"/>
          <w:sz w:val="32"/>
          <w:szCs w:val="32"/>
        </w:rPr>
        <w:t>党员师生（含预备党员）需每日通过移动端或</w:t>
      </w:r>
      <w:r>
        <w:rPr>
          <w:rFonts w:ascii="Times New Roman" w:hAnsi="Times New Roman" w:eastAsia="方正仿宋简体" w:cs="Times New Roman"/>
          <w:sz w:val="32"/>
          <w:szCs w:val="32"/>
        </w:rPr>
        <w:t>PC端登陆</w:t>
      </w:r>
      <w:r>
        <w:rPr>
          <w:rFonts w:hint="eastAsia" w:ascii="方正仿宋简体" w:hAnsi="Times New Roman" w:eastAsia="方正仿宋简体" w:cs="Times New Roman"/>
          <w:sz w:val="32"/>
          <w:szCs w:val="32"/>
        </w:rPr>
        <w:t>“学习强国”</w:t>
      </w:r>
      <w:r>
        <w:rPr>
          <w:rFonts w:ascii="Times New Roman" w:hAnsi="Times New Roman" w:eastAsia="方正仿宋简体" w:cs="Times New Roman"/>
          <w:sz w:val="32"/>
          <w:szCs w:val="32"/>
        </w:rPr>
        <w:t>学习平台进行学习，每日学习积分应不少于20分；入党积极分子、发展对象应自觉参加</w:t>
      </w:r>
      <w:r>
        <w:rPr>
          <w:rFonts w:hint="eastAsia" w:ascii="方正仿宋简体" w:hAnsi="Times New Roman" w:eastAsia="方正仿宋简体" w:cs="Times New Roman"/>
          <w:sz w:val="32"/>
          <w:szCs w:val="32"/>
        </w:rPr>
        <w:t>“学习强国”</w:t>
      </w:r>
      <w:r>
        <w:rPr>
          <w:rFonts w:ascii="Times New Roman" w:hAnsi="Times New Roman" w:eastAsia="方正仿宋简体" w:cs="Times New Roman"/>
          <w:sz w:val="32"/>
          <w:szCs w:val="32"/>
        </w:rPr>
        <w:t>学习平台打卡学习，每周积分不少于80分；鼓励普通师生多学习。</w:t>
      </w:r>
    </w:p>
    <w:p>
      <w:pPr>
        <w:spacing w:line="570" w:lineRule="exact"/>
        <w:jc w:val="center"/>
        <w:rPr>
          <w:rFonts w:ascii="方正仿宋简体" w:eastAsia="方正仿宋简体"/>
          <w:sz w:val="32"/>
          <w:szCs w:val="32"/>
        </w:rPr>
      </w:pPr>
    </w:p>
    <w:p>
      <w:pPr>
        <w:spacing w:line="570" w:lineRule="exact"/>
        <w:jc w:val="center"/>
        <w:rPr>
          <w:rFonts w:ascii="黑体" w:hAnsi="黑体" w:eastAsia="黑体"/>
          <w:sz w:val="32"/>
          <w:szCs w:val="32"/>
        </w:rPr>
      </w:pPr>
      <w:r>
        <w:rPr>
          <w:rFonts w:hint="eastAsia" w:ascii="黑体" w:hAnsi="黑体" w:eastAsia="黑体"/>
          <w:sz w:val="32"/>
          <w:szCs w:val="32"/>
        </w:rPr>
        <w:t>第三章  管理内容与要求</w:t>
      </w:r>
    </w:p>
    <w:p>
      <w:pPr>
        <w:spacing w:line="570" w:lineRule="exact"/>
        <w:ind w:firstLine="630"/>
        <w:rPr>
          <w:rFonts w:ascii="Times New Roman" w:hAnsi="Times New Roman" w:eastAsia="方正仿宋简体" w:cs="Times New Roman"/>
          <w:sz w:val="32"/>
          <w:szCs w:val="32"/>
        </w:rPr>
      </w:pPr>
      <w:r>
        <w:rPr>
          <w:rFonts w:hint="eastAsia" w:ascii="方正仿宋简体" w:eastAsia="方正仿宋简体"/>
          <w:b/>
          <w:sz w:val="32"/>
          <w:szCs w:val="32"/>
        </w:rPr>
        <w:t>第五条</w:t>
      </w:r>
      <w:r>
        <w:rPr>
          <w:rFonts w:hint="eastAsia" w:ascii="方正仿宋简体" w:eastAsia="方正仿宋简体"/>
          <w:sz w:val="32"/>
          <w:szCs w:val="32"/>
        </w:rPr>
        <w:t xml:space="preserve">  学</w:t>
      </w:r>
      <w:r>
        <w:rPr>
          <w:rFonts w:ascii="Times New Roman" w:hAnsi="Times New Roman" w:eastAsia="方正仿宋简体" w:cs="Times New Roman"/>
          <w:sz w:val="32"/>
          <w:szCs w:val="32"/>
        </w:rPr>
        <w:t>校根据积分情况进</w:t>
      </w:r>
      <w:r>
        <w:rPr>
          <w:rFonts w:hint="eastAsia" w:ascii="方正仿宋简体" w:hAnsi="Times New Roman" w:eastAsia="方正仿宋简体" w:cs="Times New Roman"/>
          <w:sz w:val="32"/>
          <w:szCs w:val="32"/>
        </w:rPr>
        <w:t>行“强国之星”“学习标兵”</w:t>
      </w:r>
      <w:r>
        <w:rPr>
          <w:rFonts w:ascii="Times New Roman" w:hAnsi="Times New Roman" w:eastAsia="方正仿宋简体" w:cs="Times New Roman"/>
          <w:sz w:val="32"/>
          <w:szCs w:val="32"/>
        </w:rPr>
        <w:t>和</w:t>
      </w:r>
      <w:r>
        <w:rPr>
          <w:rFonts w:hint="eastAsia" w:ascii="方正仿宋简体" w:hAnsi="Times New Roman" w:eastAsia="方正仿宋简体" w:cs="Times New Roman"/>
          <w:sz w:val="32"/>
          <w:szCs w:val="32"/>
        </w:rPr>
        <w:t>“学习积极分子”</w:t>
      </w:r>
      <w:r>
        <w:rPr>
          <w:rFonts w:ascii="Times New Roman" w:hAnsi="Times New Roman" w:eastAsia="方正仿宋简体" w:cs="Times New Roman"/>
          <w:sz w:val="32"/>
          <w:szCs w:val="32"/>
        </w:rPr>
        <w:t>表彰活动。</w:t>
      </w:r>
    </w:p>
    <w:p>
      <w:pPr>
        <w:spacing w:line="57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b/>
          <w:sz w:val="32"/>
          <w:szCs w:val="32"/>
        </w:rPr>
        <w:t>第六条</w:t>
      </w:r>
      <w:r>
        <w:rPr>
          <w:rFonts w:ascii="Times New Roman" w:hAnsi="Times New Roman" w:eastAsia="方正仿宋简体" w:cs="Times New Roman"/>
          <w:sz w:val="32"/>
          <w:szCs w:val="32"/>
        </w:rPr>
        <w:t xml:space="preserve">  </w:t>
      </w:r>
      <w:r>
        <w:rPr>
          <w:rFonts w:hint="eastAsia" w:ascii="Times New Roman" w:hAnsi="Times New Roman" w:eastAsia="方正仿宋简体" w:cs="Times New Roman"/>
          <w:sz w:val="32"/>
          <w:szCs w:val="32"/>
        </w:rPr>
        <w:t>各党支部指派专人负责本支部党员学习情况的统计与上报工作。各党支部需于每周星期一将上周未完成学习任务党员统计反馈至党委宣传部，并在本党支部内对未完成学习任务党员做好学习提醒和要求。</w:t>
      </w:r>
    </w:p>
    <w:p>
      <w:pPr>
        <w:spacing w:line="57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b/>
          <w:sz w:val="32"/>
          <w:szCs w:val="32"/>
        </w:rPr>
        <w:t>第七条</w:t>
      </w:r>
      <w:r>
        <w:rPr>
          <w:rFonts w:ascii="Times New Roman" w:hAnsi="Times New Roman" w:eastAsia="方正仿宋简体" w:cs="Times New Roman"/>
          <w:sz w:val="32"/>
          <w:szCs w:val="32"/>
        </w:rPr>
        <w:t xml:space="preserve">  </w:t>
      </w:r>
      <w:r>
        <w:rPr>
          <w:rFonts w:hint="eastAsia" w:ascii="Times New Roman" w:hAnsi="Times New Roman" w:eastAsia="方正仿宋简体" w:cs="Times New Roman"/>
          <w:sz w:val="32"/>
          <w:szCs w:val="32"/>
        </w:rPr>
        <w:t>党委宣传部负责排名通报及积分奖励各项事务。各党支部学习情况按照每月、每学期进行通报，各党支部对于学习次数未达标次数较多党员做好学习预警。</w:t>
      </w:r>
    </w:p>
    <w:p>
      <w:pPr>
        <w:spacing w:line="570" w:lineRule="exact"/>
        <w:ind w:firstLine="630"/>
        <w:rPr>
          <w:rFonts w:ascii="方正仿宋简体" w:eastAsia="方正仿宋简体"/>
          <w:sz w:val="32"/>
          <w:szCs w:val="32"/>
        </w:rPr>
      </w:pPr>
    </w:p>
    <w:p>
      <w:pPr>
        <w:spacing w:line="570" w:lineRule="exact"/>
        <w:jc w:val="center"/>
        <w:rPr>
          <w:rFonts w:ascii="黑体" w:hAnsi="黑体" w:eastAsia="黑体"/>
          <w:color w:val="4472C4" w:themeColor="accent1"/>
          <w:sz w:val="32"/>
          <w:szCs w:val="32"/>
          <w14:textFill>
            <w14:solidFill>
              <w14:schemeClr w14:val="accent1"/>
            </w14:solidFill>
          </w14:textFill>
        </w:rPr>
      </w:pPr>
      <w:r>
        <w:rPr>
          <w:rFonts w:hint="eastAsia" w:ascii="黑体" w:hAnsi="黑体" w:eastAsia="黑体"/>
          <w:sz w:val="32"/>
          <w:szCs w:val="32"/>
        </w:rPr>
        <w:t xml:space="preserve">第四章 </w:t>
      </w:r>
      <w:r>
        <w:rPr>
          <w:rFonts w:hint="eastAsia" w:ascii="黑体" w:hAnsi="黑体" w:eastAsia="黑体"/>
          <w:color w:val="FF0000"/>
          <w:sz w:val="32"/>
          <w:szCs w:val="32"/>
        </w:rPr>
        <w:t xml:space="preserve"> </w:t>
      </w:r>
      <w:r>
        <w:rPr>
          <w:rFonts w:hint="eastAsia" w:ascii="黑体" w:hAnsi="黑体" w:eastAsia="黑体"/>
          <w:sz w:val="32"/>
          <w:szCs w:val="32"/>
        </w:rPr>
        <w:t>奖惩与考核</w:t>
      </w:r>
    </w:p>
    <w:p>
      <w:pPr>
        <w:spacing w:line="570" w:lineRule="exact"/>
        <w:ind w:firstLine="630"/>
        <w:rPr>
          <w:rFonts w:ascii="Times New Roman" w:hAnsi="Times New Roman" w:eastAsia="方正仿宋简体" w:cs="Times New Roman"/>
          <w:sz w:val="32"/>
          <w:szCs w:val="32"/>
        </w:rPr>
      </w:pPr>
      <w:r>
        <w:rPr>
          <w:rFonts w:hint="eastAsia" w:ascii="方正仿宋简体" w:eastAsia="方正仿宋简体"/>
          <w:b/>
          <w:sz w:val="32"/>
          <w:szCs w:val="32"/>
        </w:rPr>
        <w:t>第八条</w:t>
      </w:r>
      <w:r>
        <w:rPr>
          <w:rFonts w:hint="eastAsia" w:ascii="方正仿宋简体" w:eastAsia="方正仿宋简体"/>
          <w:sz w:val="32"/>
          <w:szCs w:val="32"/>
        </w:rPr>
        <w:t xml:space="preserve">  </w:t>
      </w:r>
      <w:r>
        <w:rPr>
          <w:rFonts w:hint="eastAsia" w:ascii="Times New Roman" w:hAnsi="Times New Roman" w:eastAsia="方正仿宋简体" w:cs="Times New Roman"/>
          <w:sz w:val="32"/>
          <w:szCs w:val="32"/>
        </w:rPr>
        <w:t>按年度评选“强国之星”，表彰学校党支部范围内年度总积分排名前</w:t>
      </w:r>
      <w:r>
        <w:rPr>
          <w:rFonts w:ascii="Times New Roman" w:hAnsi="Times New Roman" w:eastAsia="方正仿宋简体" w:cs="Times New Roman"/>
          <w:sz w:val="32"/>
          <w:szCs w:val="32"/>
        </w:rPr>
        <w:t>10名的党员，每人奖励150元或价值150元的学习用品；表彰学校范围内年度学习积分排名前10名的非党员同志，赠送学校专属定制</w:t>
      </w:r>
      <w:r>
        <w:rPr>
          <w:rFonts w:hint="eastAsia" w:ascii="方正仿宋简体" w:hAnsi="Times New Roman" w:eastAsia="方正仿宋简体" w:cs="Times New Roman"/>
          <w:sz w:val="32"/>
          <w:szCs w:val="32"/>
        </w:rPr>
        <w:t>的“学习强国”纪</w:t>
      </w:r>
      <w:r>
        <w:rPr>
          <w:rFonts w:ascii="Times New Roman" w:hAnsi="Times New Roman" w:eastAsia="方正仿宋简体" w:cs="Times New Roman"/>
          <w:sz w:val="32"/>
          <w:szCs w:val="32"/>
        </w:rPr>
        <w:t>念品或价值100元的学习用品。</w:t>
      </w:r>
    </w:p>
    <w:p>
      <w:pPr>
        <w:spacing w:line="57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按学期评选</w:t>
      </w:r>
      <w:r>
        <w:rPr>
          <w:rFonts w:hint="eastAsia" w:ascii="方正仿宋简体" w:hAnsi="Times New Roman" w:eastAsia="方正仿宋简体" w:cs="Times New Roman"/>
          <w:sz w:val="32"/>
          <w:szCs w:val="32"/>
        </w:rPr>
        <w:t>“学习标兵”</w:t>
      </w:r>
      <w:r>
        <w:rPr>
          <w:rFonts w:ascii="Times New Roman" w:hAnsi="Times New Roman" w:eastAsia="方正仿宋简体" w:cs="Times New Roman"/>
          <w:sz w:val="32"/>
          <w:szCs w:val="32"/>
        </w:rPr>
        <w:t>，各党支部推荐学期学习总积分排名前3的党员，每人奖励80元或价值80元的学习用品或学校专属定制</w:t>
      </w:r>
      <w:r>
        <w:rPr>
          <w:rFonts w:hint="eastAsia" w:ascii="方正仿宋简体" w:hAnsi="Times New Roman" w:eastAsia="方正仿宋简体" w:cs="Times New Roman"/>
          <w:sz w:val="32"/>
          <w:szCs w:val="32"/>
        </w:rPr>
        <w:t>的“学习强国”纪</w:t>
      </w:r>
      <w:r>
        <w:rPr>
          <w:rFonts w:ascii="Times New Roman" w:hAnsi="Times New Roman" w:eastAsia="方正仿宋简体" w:cs="Times New Roman"/>
          <w:sz w:val="32"/>
          <w:szCs w:val="32"/>
        </w:rPr>
        <w:t>念品。</w:t>
      </w:r>
    </w:p>
    <w:p>
      <w:pPr>
        <w:spacing w:line="57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按年度评选</w:t>
      </w:r>
      <w:r>
        <w:rPr>
          <w:rFonts w:hint="eastAsia" w:ascii="方正仿宋简体" w:hAnsi="Times New Roman" w:eastAsia="方正仿宋简体" w:cs="Times New Roman"/>
          <w:sz w:val="32"/>
          <w:szCs w:val="32"/>
        </w:rPr>
        <w:t>“学习积极分子”</w:t>
      </w:r>
      <w:r>
        <w:rPr>
          <w:rFonts w:ascii="Times New Roman" w:hAnsi="Times New Roman" w:eastAsia="方正仿宋简体" w:cs="Times New Roman"/>
          <w:sz w:val="32"/>
          <w:szCs w:val="32"/>
        </w:rPr>
        <w:t>，年度内学习积分达到15000分以上，排名前100名的全校师生员工，授予学习强国</w:t>
      </w:r>
      <w:r>
        <w:rPr>
          <w:rFonts w:hint="eastAsia" w:ascii="方正仿宋简体" w:hAnsi="Times New Roman" w:eastAsia="方正仿宋简体" w:cs="Times New Roman"/>
          <w:sz w:val="32"/>
          <w:szCs w:val="32"/>
        </w:rPr>
        <w:t>“学习积极分子”</w:t>
      </w:r>
      <w:r>
        <w:rPr>
          <w:rFonts w:ascii="Times New Roman" w:hAnsi="Times New Roman" w:eastAsia="方正仿宋简体" w:cs="Times New Roman"/>
          <w:sz w:val="32"/>
          <w:szCs w:val="32"/>
        </w:rPr>
        <w:t>称号，赠送学校专属定制的</w:t>
      </w:r>
      <w:r>
        <w:rPr>
          <w:rFonts w:hint="eastAsia" w:ascii="方正仿宋简体" w:hAnsi="Times New Roman" w:eastAsia="方正仿宋简体" w:cs="Times New Roman"/>
          <w:sz w:val="32"/>
          <w:szCs w:val="32"/>
        </w:rPr>
        <w:t>“学习强国”</w:t>
      </w:r>
      <w:r>
        <w:rPr>
          <w:rFonts w:ascii="Times New Roman" w:hAnsi="Times New Roman" w:eastAsia="方正仿宋简体" w:cs="Times New Roman"/>
          <w:sz w:val="32"/>
          <w:szCs w:val="32"/>
        </w:rPr>
        <w:t>纪念品或价值80元的学习用品。</w:t>
      </w:r>
      <w:r>
        <w:rPr>
          <w:rFonts w:hint="eastAsia" w:ascii="方正仿宋简体" w:hAnsi="Times New Roman" w:eastAsia="方正仿宋简体" w:cs="Times New Roman"/>
          <w:sz w:val="32"/>
          <w:szCs w:val="32"/>
        </w:rPr>
        <w:t>“强国之星”和“学习积极分子”</w:t>
      </w:r>
      <w:r>
        <w:rPr>
          <w:rFonts w:ascii="Times New Roman" w:hAnsi="Times New Roman" w:eastAsia="方正仿宋简体" w:cs="Times New Roman"/>
          <w:sz w:val="32"/>
          <w:szCs w:val="32"/>
        </w:rPr>
        <w:t>不可同时获得。</w:t>
      </w:r>
    </w:p>
    <w:p>
      <w:pPr>
        <w:spacing w:line="570" w:lineRule="exact"/>
        <w:ind w:firstLine="630"/>
        <w:rPr>
          <w:rFonts w:ascii="Times New Roman" w:hAnsi="Times New Roman" w:eastAsia="方正仿宋简体" w:cs="Times New Roman"/>
          <w:sz w:val="32"/>
          <w:szCs w:val="32"/>
        </w:rPr>
      </w:pPr>
      <w:r>
        <w:rPr>
          <w:rFonts w:hint="eastAsia" w:ascii="方正仿宋简体" w:eastAsia="方正仿宋简体"/>
          <w:b/>
          <w:sz w:val="32"/>
          <w:szCs w:val="32"/>
        </w:rPr>
        <w:t>第九条</w:t>
      </w:r>
      <w:r>
        <w:rPr>
          <w:rFonts w:hint="eastAsia" w:ascii="方正仿宋简体" w:eastAsia="方正仿宋简体"/>
          <w:sz w:val="32"/>
          <w:szCs w:val="32"/>
        </w:rPr>
        <w:t xml:space="preserve">  </w:t>
      </w:r>
      <w:r>
        <w:rPr>
          <w:rFonts w:hint="eastAsia" w:ascii="Times New Roman" w:hAnsi="Times New Roman" w:eastAsia="方正仿宋简体" w:cs="Times New Roman"/>
          <w:sz w:val="32"/>
          <w:szCs w:val="32"/>
        </w:rPr>
        <w:t>对“学习强国”学习组织得力的集体和个人予以表彰和奖励。年底“学习强国”平均参与度达到</w:t>
      </w:r>
      <w:r>
        <w:rPr>
          <w:rFonts w:ascii="Times New Roman" w:hAnsi="Times New Roman" w:eastAsia="方正仿宋简体" w:cs="Times New Roman"/>
          <w:sz w:val="32"/>
          <w:szCs w:val="32"/>
        </w:rPr>
        <w:t>97%及以上，学习总积分排名前40%的党支部，授</w:t>
      </w:r>
      <w:r>
        <w:rPr>
          <w:rFonts w:hint="eastAsia" w:ascii="方正仿宋简体" w:hAnsi="Times New Roman" w:eastAsia="方正仿宋简体" w:cs="Times New Roman"/>
          <w:sz w:val="32"/>
          <w:szCs w:val="32"/>
        </w:rPr>
        <w:t>予“学习强国先进集体”</w:t>
      </w:r>
      <w:r>
        <w:rPr>
          <w:rFonts w:ascii="Times New Roman" w:hAnsi="Times New Roman" w:eastAsia="方正仿宋简体" w:cs="Times New Roman"/>
          <w:sz w:val="32"/>
          <w:szCs w:val="32"/>
        </w:rPr>
        <w:t>称号，颁发荣誉证书并按照排名等次给予适当经费奖励；对于在学校</w:t>
      </w:r>
      <w:r>
        <w:rPr>
          <w:rFonts w:hint="eastAsia" w:ascii="方正仿宋简体" w:hAnsi="Times New Roman" w:eastAsia="方正仿宋简体" w:cs="Times New Roman"/>
          <w:sz w:val="32"/>
          <w:szCs w:val="32"/>
        </w:rPr>
        <w:t>“学习强国”工</w:t>
      </w:r>
      <w:r>
        <w:rPr>
          <w:rFonts w:ascii="Times New Roman" w:hAnsi="Times New Roman" w:eastAsia="方正仿宋简体" w:cs="Times New Roman"/>
          <w:sz w:val="32"/>
          <w:szCs w:val="32"/>
        </w:rPr>
        <w:t>作中表现优秀的个人授予</w:t>
      </w:r>
      <w:r>
        <w:rPr>
          <w:rFonts w:hint="eastAsia" w:ascii="方正仿宋简体" w:hAnsi="Times New Roman" w:eastAsia="方正仿宋简体" w:cs="Times New Roman"/>
          <w:sz w:val="32"/>
          <w:szCs w:val="32"/>
        </w:rPr>
        <w:t>“学习强国先进个人”称</w:t>
      </w:r>
      <w:r>
        <w:rPr>
          <w:rFonts w:ascii="Times New Roman" w:hAnsi="Times New Roman" w:eastAsia="方正仿宋简体" w:cs="Times New Roman"/>
          <w:sz w:val="32"/>
          <w:szCs w:val="32"/>
        </w:rPr>
        <w:t>号，颁发荣誉证书并给予适当经费奖励</w:t>
      </w:r>
      <w:r>
        <w:rPr>
          <w:rFonts w:hint="eastAsia" w:ascii="Times New Roman" w:hAnsi="Times New Roman" w:eastAsia="方正仿宋简体" w:cs="Times New Roman"/>
          <w:sz w:val="32"/>
          <w:szCs w:val="32"/>
        </w:rPr>
        <w:t>。</w:t>
      </w:r>
    </w:p>
    <w:p>
      <w:pPr>
        <w:spacing w:line="57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b/>
          <w:sz w:val="32"/>
          <w:szCs w:val="32"/>
        </w:rPr>
        <w:t>第十条</w:t>
      </w:r>
      <w:r>
        <w:rPr>
          <w:rFonts w:ascii="Times New Roman" w:hAnsi="Times New Roman" w:eastAsia="方正仿宋简体" w:cs="Times New Roman"/>
          <w:sz w:val="32"/>
          <w:szCs w:val="32"/>
        </w:rPr>
        <w:t xml:space="preserve">  </w:t>
      </w:r>
      <w:r>
        <w:rPr>
          <w:rFonts w:hint="eastAsia" w:ascii="Times New Roman" w:hAnsi="Times New Roman" w:eastAsia="方正仿宋简体" w:cs="Times New Roman"/>
          <w:sz w:val="32"/>
          <w:szCs w:val="32"/>
        </w:rPr>
        <w:t>无任何特殊原因，未按照要求完成学习任务的党员同志，按照以下情况予以相应处理：</w:t>
      </w:r>
    </w:p>
    <w:p>
      <w:pPr>
        <w:spacing w:line="570" w:lineRule="exact"/>
        <w:ind w:firstLine="630"/>
        <w:rPr>
          <w:rFonts w:ascii="Times New Roman" w:hAnsi="Times New Roman" w:eastAsia="方正仿宋简体" w:cs="Times New Roman"/>
          <w:sz w:val="32"/>
          <w:szCs w:val="32"/>
        </w:rPr>
      </w:pPr>
      <w:r>
        <w:rPr>
          <w:rFonts w:hint="eastAsia" w:ascii="Times New Roman" w:hAnsi="Times New Roman" w:eastAsia="方正仿宋简体" w:cs="Times New Roman"/>
          <w:sz w:val="32"/>
          <w:szCs w:val="32"/>
        </w:rPr>
        <w:t>日积分当月有</w:t>
      </w:r>
      <w:r>
        <w:rPr>
          <w:rFonts w:ascii="Times New Roman" w:hAnsi="Times New Roman" w:eastAsia="方正仿宋简体" w:cs="Times New Roman"/>
          <w:sz w:val="32"/>
          <w:szCs w:val="32"/>
        </w:rPr>
        <w:t>10次低于20分，或者当月有5次学习得0分的，记全校通报1次。一个月内通报1次，由党支部书记做好谈话教育；一个月内累计达到3次的，给予严肃批评1次，由党总支书记做好谈话教育。一个月完全不学习，或一个学期受严肃批评累计2次的，由学校分管党务工作校领导予以谈话，并取消其当年校内任何评优评先资格；党员所在党支部及党总支负责人，同时接受分管党务工作校领导约谈。受约谈后仍不思悔改再次被通报的，给予诫勉谈话处理。</w:t>
      </w:r>
    </w:p>
    <w:p>
      <w:pPr>
        <w:spacing w:line="57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通报次数按月统计，不逐月累加；多次受严肃批评的，累积计算。</w:t>
      </w:r>
    </w:p>
    <w:p>
      <w:pPr>
        <w:spacing w:line="57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sz w:val="32"/>
          <w:szCs w:val="32"/>
        </w:rPr>
        <w:t>对于疏于管理和要求，有党员受诫勉谈话处理，或受严肃批评及以上处理党员人数较多，或单次被通报党员数超过党（总）支部总人数二分之一及以上的，校党委书记对党总支及党支部负责人予以约谈。</w:t>
      </w:r>
    </w:p>
    <w:p>
      <w:pPr>
        <w:spacing w:line="570" w:lineRule="exact"/>
        <w:ind w:firstLine="630"/>
        <w:rPr>
          <w:rFonts w:ascii="Times New Roman" w:hAnsi="Times New Roman" w:eastAsia="方正仿宋简体" w:cs="Times New Roman"/>
          <w:sz w:val="32"/>
          <w:szCs w:val="32"/>
        </w:rPr>
      </w:pPr>
      <w:r>
        <w:rPr>
          <w:rFonts w:hint="eastAsia" w:ascii="Times New Roman" w:hAnsi="Times New Roman" w:eastAsia="方正仿宋简体" w:cs="Times New Roman"/>
          <w:b/>
          <w:sz w:val="32"/>
          <w:szCs w:val="32"/>
        </w:rPr>
        <w:t xml:space="preserve">第十一条 </w:t>
      </w:r>
      <w:r>
        <w:rPr>
          <w:rFonts w:ascii="Times New Roman" w:hAnsi="Times New Roman" w:eastAsia="方正仿宋简体" w:cs="Times New Roman"/>
          <w:sz w:val="32"/>
          <w:szCs w:val="32"/>
        </w:rPr>
        <w:t xml:space="preserve"> </w:t>
      </w:r>
      <w:r>
        <w:rPr>
          <w:rFonts w:hint="eastAsia" w:ascii="Times New Roman" w:hAnsi="Times New Roman" w:eastAsia="方正仿宋简体" w:cs="Times New Roman"/>
          <w:sz w:val="32"/>
          <w:szCs w:val="32"/>
        </w:rPr>
        <w:t>将“学习强国”学习情况纳入年度党（总）支部党建工作考核、党组织书记述职考核及民主评议党员内容。年度内受到全校通报及以上处理的党员同志，年度党员民主评议按照要求扣除相应分值；年度内受到通报批评累计达</w:t>
      </w:r>
      <w:r>
        <w:rPr>
          <w:rFonts w:ascii="Times New Roman" w:hAnsi="Times New Roman" w:eastAsia="方正仿宋简体" w:cs="Times New Roman"/>
          <w:sz w:val="32"/>
          <w:szCs w:val="32"/>
        </w:rPr>
        <w:t>2次及以上的党员同志，取消其当年党内任何评优评先评奖资格。</w:t>
      </w:r>
    </w:p>
    <w:p>
      <w:pPr>
        <w:spacing w:line="570" w:lineRule="exact"/>
        <w:ind w:firstLine="630"/>
        <w:rPr>
          <w:rFonts w:ascii="Times New Roman" w:hAnsi="Times New Roman" w:eastAsia="方正仿宋简体" w:cs="Times New Roman"/>
          <w:sz w:val="32"/>
          <w:szCs w:val="32"/>
        </w:rPr>
      </w:pPr>
      <w:r>
        <w:rPr>
          <w:rFonts w:ascii="Times New Roman" w:hAnsi="Times New Roman" w:eastAsia="方正仿宋简体" w:cs="Times New Roman"/>
          <w:b/>
          <w:sz w:val="32"/>
          <w:szCs w:val="32"/>
        </w:rPr>
        <w:t>第十</w:t>
      </w:r>
      <w:r>
        <w:rPr>
          <w:rFonts w:hint="eastAsia" w:ascii="Times New Roman" w:hAnsi="Times New Roman" w:eastAsia="方正仿宋简体" w:cs="Times New Roman"/>
          <w:b/>
          <w:sz w:val="32"/>
          <w:szCs w:val="32"/>
        </w:rPr>
        <w:t>二</w:t>
      </w:r>
      <w:r>
        <w:rPr>
          <w:rFonts w:ascii="Times New Roman" w:hAnsi="Times New Roman" w:eastAsia="方正仿宋简体" w:cs="Times New Roman"/>
          <w:b/>
          <w:sz w:val="32"/>
          <w:szCs w:val="32"/>
        </w:rPr>
        <w:t>条</w:t>
      </w:r>
      <w:r>
        <w:rPr>
          <w:rFonts w:ascii="Times New Roman" w:hAnsi="Times New Roman" w:eastAsia="方正仿宋简体" w:cs="Times New Roman"/>
          <w:sz w:val="32"/>
          <w:szCs w:val="32"/>
        </w:rPr>
        <w:t xml:space="preserve">  </w:t>
      </w:r>
      <w:r>
        <w:rPr>
          <w:rFonts w:hint="eastAsia" w:ascii="Times New Roman" w:hAnsi="Times New Roman" w:eastAsia="方正仿宋简体" w:cs="Times New Roman"/>
          <w:sz w:val="32"/>
          <w:szCs w:val="32"/>
        </w:rPr>
        <w:t>党支部将按照季度对入党积极分子、党员发展对象及拟转正预备党员“学习强国”积分进行考察，并作为推荐入党、列为发展对象及是否同意转正的重要依据。</w:t>
      </w:r>
    </w:p>
    <w:p>
      <w:pPr>
        <w:spacing w:line="570" w:lineRule="exact"/>
        <w:ind w:firstLine="630"/>
        <w:rPr>
          <w:rFonts w:ascii="方正仿宋简体" w:eastAsia="方正仿宋简体"/>
          <w:sz w:val="32"/>
          <w:szCs w:val="32"/>
        </w:rPr>
      </w:pPr>
      <w:r>
        <w:rPr>
          <w:rFonts w:ascii="Times New Roman" w:hAnsi="Times New Roman" w:eastAsia="方正仿宋简体" w:cs="Times New Roman"/>
          <w:b/>
          <w:sz w:val="32"/>
          <w:szCs w:val="32"/>
        </w:rPr>
        <w:t>第十</w:t>
      </w:r>
      <w:r>
        <w:rPr>
          <w:rFonts w:hint="eastAsia" w:ascii="Times New Roman" w:hAnsi="Times New Roman" w:eastAsia="方正仿宋简体" w:cs="Times New Roman"/>
          <w:b/>
          <w:sz w:val="32"/>
          <w:szCs w:val="32"/>
        </w:rPr>
        <w:t>三</w:t>
      </w:r>
      <w:r>
        <w:rPr>
          <w:rFonts w:ascii="Times New Roman" w:hAnsi="Times New Roman" w:eastAsia="方正仿宋简体" w:cs="Times New Roman"/>
          <w:b/>
          <w:sz w:val="32"/>
          <w:szCs w:val="32"/>
        </w:rPr>
        <w:t>条</w:t>
      </w:r>
      <w:r>
        <w:rPr>
          <w:rFonts w:ascii="Times New Roman" w:hAnsi="Times New Roman" w:eastAsia="方正仿宋简体" w:cs="Times New Roman"/>
          <w:sz w:val="32"/>
          <w:szCs w:val="32"/>
        </w:rPr>
        <w:t xml:space="preserve">  本办法奖励费用从学校党建工作经费</w:t>
      </w:r>
      <w:r>
        <w:rPr>
          <w:rFonts w:hint="eastAsia" w:ascii="方正仿宋简体" w:eastAsia="方正仿宋简体"/>
          <w:sz w:val="32"/>
          <w:szCs w:val="32"/>
        </w:rPr>
        <w:t>支出。</w:t>
      </w:r>
    </w:p>
    <w:p>
      <w:pPr>
        <w:spacing w:line="570" w:lineRule="exact"/>
        <w:rPr>
          <w:rFonts w:ascii="方正仿宋简体" w:eastAsia="方正仿宋简体"/>
          <w:sz w:val="32"/>
          <w:szCs w:val="32"/>
        </w:rPr>
      </w:pPr>
    </w:p>
    <w:p>
      <w:pPr>
        <w:spacing w:line="570" w:lineRule="exact"/>
        <w:jc w:val="center"/>
        <w:rPr>
          <w:rFonts w:ascii="黑体" w:hAnsi="黑体" w:eastAsia="黑体"/>
          <w:sz w:val="32"/>
          <w:szCs w:val="32"/>
        </w:rPr>
      </w:pPr>
      <w:r>
        <w:rPr>
          <w:rFonts w:hint="eastAsia" w:ascii="黑体" w:hAnsi="黑体" w:eastAsia="黑体"/>
          <w:sz w:val="32"/>
          <w:szCs w:val="32"/>
        </w:rPr>
        <w:t>第五章  附则</w:t>
      </w:r>
    </w:p>
    <w:p>
      <w:pPr>
        <w:spacing w:line="570" w:lineRule="exact"/>
        <w:ind w:firstLine="638"/>
        <w:rPr>
          <w:rFonts w:ascii="方正仿宋简体" w:eastAsia="方正仿宋简体"/>
          <w:sz w:val="32"/>
          <w:szCs w:val="32"/>
        </w:rPr>
      </w:pPr>
      <w:r>
        <w:rPr>
          <w:rFonts w:hint="eastAsia" w:ascii="方正仿宋简体" w:eastAsia="方正仿宋简体"/>
          <w:b/>
          <w:sz w:val="32"/>
          <w:szCs w:val="32"/>
        </w:rPr>
        <w:t>第十四条</w:t>
      </w:r>
      <w:r>
        <w:rPr>
          <w:rFonts w:hint="eastAsia" w:ascii="方正仿宋简体" w:eastAsia="方正仿宋简体"/>
          <w:sz w:val="32"/>
          <w:szCs w:val="32"/>
        </w:rPr>
        <w:t xml:space="preserve">  本办法由党委宣传部负责解释。</w:t>
      </w:r>
    </w:p>
    <w:p>
      <w:pPr>
        <w:spacing w:line="570" w:lineRule="exact"/>
        <w:ind w:firstLine="638"/>
        <w:rPr>
          <w:rFonts w:hint="eastAsia" w:ascii="方正仿宋简体" w:eastAsia="方正仿宋简体"/>
          <w:sz w:val="32"/>
          <w:szCs w:val="32"/>
          <w:lang w:eastAsia="zh-CN"/>
        </w:rPr>
      </w:pPr>
      <w:r>
        <w:rPr>
          <w:rFonts w:hint="eastAsia" w:ascii="方正仿宋简体" w:eastAsia="方正仿宋简体"/>
          <w:b/>
          <w:sz w:val="32"/>
          <w:szCs w:val="32"/>
        </w:rPr>
        <w:t>第十五条</w:t>
      </w:r>
      <w:r>
        <w:rPr>
          <w:rFonts w:ascii="Times New Roman" w:hAnsi="Times New Roman" w:eastAsia="方正仿宋简体" w:cs="Times New Roman"/>
          <w:sz w:val="32"/>
          <w:szCs w:val="32"/>
        </w:rPr>
        <w:t xml:space="preserve">  本办法自2022年12月1日起执行</w:t>
      </w:r>
      <w:r>
        <w:rPr>
          <w:rFonts w:hint="eastAsia" w:ascii="Times New Roman" w:hAnsi="Times New Roman" w:eastAsia="方正仿宋简体" w:cs="Times New Roman"/>
          <w:sz w:val="32"/>
          <w:szCs w:val="32"/>
          <w:lang w:eastAsia="zh-CN"/>
        </w:rPr>
        <w:t>，原《北海艺术设计学院 “学习强国”积分奖惩办法（试行）》同时废止。</w:t>
      </w:r>
    </w:p>
    <w:sectPr>
      <w:headerReference r:id="rId5" w:type="first"/>
      <w:footerReference r:id="rId8" w:type="first"/>
      <w:headerReference r:id="rId3" w:type="default"/>
      <w:footerReference r:id="rId6" w:type="default"/>
      <w:headerReference r:id="rId4" w:type="even"/>
      <w:footerReference r:id="rId7" w:type="even"/>
      <w:pgSz w:w="11906" w:h="16838"/>
      <w:pgMar w:top="1701" w:right="1588" w:bottom="1701"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等线">
    <w:altName w:val="微软雅黑"/>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方正小标宋_GBK">
    <w:altName w:val="黑体"/>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ViMmFiNDZiNGI5OTdkYTRhOGJmMWQ3NTA2Y2I5MTUifQ=="/>
  </w:docVars>
  <w:rsids>
    <w:rsidRoot w:val="003B7E98"/>
    <w:rsid w:val="000A6E17"/>
    <w:rsid w:val="000C0610"/>
    <w:rsid w:val="000D16B3"/>
    <w:rsid w:val="000D2773"/>
    <w:rsid w:val="000F40EB"/>
    <w:rsid w:val="0010502D"/>
    <w:rsid w:val="00107097"/>
    <w:rsid w:val="00153E8E"/>
    <w:rsid w:val="00182F09"/>
    <w:rsid w:val="0018754D"/>
    <w:rsid w:val="00190CB5"/>
    <w:rsid w:val="001926D6"/>
    <w:rsid w:val="001B51E0"/>
    <w:rsid w:val="001C01F4"/>
    <w:rsid w:val="00222CB8"/>
    <w:rsid w:val="00231F74"/>
    <w:rsid w:val="00292FBD"/>
    <w:rsid w:val="00317326"/>
    <w:rsid w:val="003452FA"/>
    <w:rsid w:val="00397A5B"/>
    <w:rsid w:val="003B7E98"/>
    <w:rsid w:val="003D387D"/>
    <w:rsid w:val="00400941"/>
    <w:rsid w:val="00420206"/>
    <w:rsid w:val="0043680C"/>
    <w:rsid w:val="0044781A"/>
    <w:rsid w:val="004520C3"/>
    <w:rsid w:val="00456DD7"/>
    <w:rsid w:val="00471E43"/>
    <w:rsid w:val="004A65A7"/>
    <w:rsid w:val="004D4471"/>
    <w:rsid w:val="004E7D25"/>
    <w:rsid w:val="004F29BE"/>
    <w:rsid w:val="005045A4"/>
    <w:rsid w:val="005A2A78"/>
    <w:rsid w:val="005C413D"/>
    <w:rsid w:val="005D0F1A"/>
    <w:rsid w:val="005E2787"/>
    <w:rsid w:val="0060121B"/>
    <w:rsid w:val="00650414"/>
    <w:rsid w:val="006D61A6"/>
    <w:rsid w:val="00717D7B"/>
    <w:rsid w:val="00744DAB"/>
    <w:rsid w:val="007475F2"/>
    <w:rsid w:val="007649C5"/>
    <w:rsid w:val="0077139F"/>
    <w:rsid w:val="00795990"/>
    <w:rsid w:val="007C5CBD"/>
    <w:rsid w:val="007D5A4C"/>
    <w:rsid w:val="00821F8D"/>
    <w:rsid w:val="00832080"/>
    <w:rsid w:val="00833CB6"/>
    <w:rsid w:val="00851DC3"/>
    <w:rsid w:val="00867F29"/>
    <w:rsid w:val="008B7781"/>
    <w:rsid w:val="008D7030"/>
    <w:rsid w:val="00910B6E"/>
    <w:rsid w:val="0094583A"/>
    <w:rsid w:val="00964DD1"/>
    <w:rsid w:val="00975795"/>
    <w:rsid w:val="00987BBF"/>
    <w:rsid w:val="009B1CCA"/>
    <w:rsid w:val="009C0563"/>
    <w:rsid w:val="00A96B62"/>
    <w:rsid w:val="00AA171A"/>
    <w:rsid w:val="00AE6590"/>
    <w:rsid w:val="00B02978"/>
    <w:rsid w:val="00B3598F"/>
    <w:rsid w:val="00B36764"/>
    <w:rsid w:val="00B56E60"/>
    <w:rsid w:val="00B82AB2"/>
    <w:rsid w:val="00BE18C9"/>
    <w:rsid w:val="00C03406"/>
    <w:rsid w:val="00C14237"/>
    <w:rsid w:val="00C353F7"/>
    <w:rsid w:val="00C4440B"/>
    <w:rsid w:val="00C508C8"/>
    <w:rsid w:val="00C54C57"/>
    <w:rsid w:val="00C57C42"/>
    <w:rsid w:val="00CC3862"/>
    <w:rsid w:val="00D34833"/>
    <w:rsid w:val="00D675DB"/>
    <w:rsid w:val="00DB6BC5"/>
    <w:rsid w:val="00DD534E"/>
    <w:rsid w:val="00DE5640"/>
    <w:rsid w:val="00DE67D9"/>
    <w:rsid w:val="00E00E94"/>
    <w:rsid w:val="00E10FFB"/>
    <w:rsid w:val="00E27404"/>
    <w:rsid w:val="00E42C06"/>
    <w:rsid w:val="00E43897"/>
    <w:rsid w:val="00E45316"/>
    <w:rsid w:val="00E70F3A"/>
    <w:rsid w:val="00E8567B"/>
    <w:rsid w:val="00E9087A"/>
    <w:rsid w:val="00EA5B3A"/>
    <w:rsid w:val="00EA6A6D"/>
    <w:rsid w:val="00EB292A"/>
    <w:rsid w:val="00EB2D45"/>
    <w:rsid w:val="00EB41E9"/>
    <w:rsid w:val="00EC3909"/>
    <w:rsid w:val="00ED5DB5"/>
    <w:rsid w:val="00F0144E"/>
    <w:rsid w:val="00F0772D"/>
    <w:rsid w:val="00F11FEA"/>
    <w:rsid w:val="00F33E31"/>
    <w:rsid w:val="00F36597"/>
    <w:rsid w:val="04C93D2A"/>
    <w:rsid w:val="0E28021A"/>
    <w:rsid w:val="20F06F4A"/>
    <w:rsid w:val="234838A3"/>
    <w:rsid w:val="26B51B7E"/>
    <w:rsid w:val="279551D8"/>
    <w:rsid w:val="29EE18F8"/>
    <w:rsid w:val="31616EEB"/>
    <w:rsid w:val="321E66A5"/>
    <w:rsid w:val="33FD6A90"/>
    <w:rsid w:val="357E7AF8"/>
    <w:rsid w:val="36666A69"/>
    <w:rsid w:val="462036D5"/>
    <w:rsid w:val="47C27082"/>
    <w:rsid w:val="492C192E"/>
    <w:rsid w:val="4C746988"/>
    <w:rsid w:val="50A61433"/>
    <w:rsid w:val="564C67F4"/>
    <w:rsid w:val="5FAF6C1D"/>
    <w:rsid w:val="664272A1"/>
    <w:rsid w:val="750570AF"/>
    <w:rsid w:val="76171EA7"/>
    <w:rsid w:val="770574CC"/>
    <w:rsid w:val="78F80AE7"/>
    <w:rsid w:val="796773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11"/>
    <w:semiHidden/>
    <w:unhideWhenUsed/>
    <w:qFormat/>
    <w:uiPriority w:val="99"/>
    <w:pPr>
      <w:ind w:left="100" w:leftChars="2500"/>
    </w:pPr>
  </w:style>
  <w:style w:type="paragraph" w:styleId="3">
    <w:name w:val="Balloon Text"/>
    <w:basedOn w:val="1"/>
    <w:link w:val="10"/>
    <w:unhideWhenUsed/>
    <w:qFormat/>
    <w:uiPriority w:val="99"/>
    <w:rPr>
      <w:sz w:val="18"/>
      <w:szCs w:val="18"/>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qFormat/>
    <w:uiPriority w:val="99"/>
    <w:rPr>
      <w:kern w:val="2"/>
      <w:sz w:val="18"/>
      <w:szCs w:val="18"/>
    </w:rPr>
  </w:style>
  <w:style w:type="character" w:customStyle="1" w:styleId="9">
    <w:name w:val="页脚 字符"/>
    <w:basedOn w:val="7"/>
    <w:link w:val="4"/>
    <w:qFormat/>
    <w:uiPriority w:val="99"/>
    <w:rPr>
      <w:kern w:val="2"/>
      <w:sz w:val="18"/>
      <w:szCs w:val="18"/>
    </w:rPr>
  </w:style>
  <w:style w:type="character" w:customStyle="1" w:styleId="10">
    <w:name w:val="批注框文本 字符"/>
    <w:basedOn w:val="7"/>
    <w:link w:val="3"/>
    <w:semiHidden/>
    <w:qFormat/>
    <w:uiPriority w:val="99"/>
    <w:rPr>
      <w:kern w:val="2"/>
      <w:sz w:val="18"/>
      <w:szCs w:val="18"/>
    </w:rPr>
  </w:style>
  <w:style w:type="character" w:customStyle="1" w:styleId="11">
    <w:name w:val="日期 字符"/>
    <w:basedOn w:val="7"/>
    <w:link w:val="2"/>
    <w:semiHidden/>
    <w:qFormat/>
    <w:uiPriority w:val="99"/>
    <w:rPr>
      <w:rFonts w:asciiTheme="minorHAnsi" w:hAnsiTheme="minorHAnsi" w:eastAsiaTheme="minorEastAsia" w:cstheme="minorBidi"/>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1841</Words>
  <Characters>1875</Characters>
  <Lines>13</Lines>
  <Paragraphs>3</Paragraphs>
  <TotalTime>0</TotalTime>
  <ScaleCrop>false</ScaleCrop>
  <LinksUpToDate>false</LinksUpToDate>
  <CharactersWithSpaces>1932</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2021-08-13T16:05:00Z</dcterms:created>
  <dc:creator>Jersey0079</dc:creator>
  <cp:lastModifiedBy>Someone</cp:lastModifiedBy>
  <cp:lastPrinted>2022-12-01T08:19:54Z</cp:lastPrinted>
  <dcterms:modified xsi:type="dcterms:W3CDTF">2022-12-01T08:39:42Z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1A8E2A8791B84BE3A2937E8CDE3F8D69</vt:lpwstr>
  </property>
</Properties>
</file>