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napToGrid w:val="0"/>
          <w:sz w:val="32"/>
          <w:szCs w:val="32"/>
        </w:rPr>
        <w:t>附件2</w:t>
      </w:r>
    </w:p>
    <w:p>
      <w:pPr>
        <w:adjustRightInd w:val="0"/>
        <w:snapToGrid w:val="0"/>
        <w:spacing w:line="560" w:lineRule="exact"/>
        <w:jc w:val="center"/>
        <w:rPr>
          <w:rFonts w:ascii="宋体" w:hAnsi="宋体" w:cstheme="minorBidi"/>
          <w:b/>
          <w:sz w:val="28"/>
          <w:szCs w:val="28"/>
        </w:rPr>
      </w:pPr>
      <w:r>
        <w:rPr>
          <w:rFonts w:hint="eastAsia" w:ascii="宋体" w:hAnsi="宋体" w:cstheme="minorBidi"/>
          <w:b/>
          <w:sz w:val="28"/>
          <w:szCs w:val="28"/>
        </w:rPr>
        <w:t>北海艺术设计学院</w:t>
      </w:r>
      <w:r>
        <w:rPr>
          <w:rFonts w:hint="eastAsia" w:ascii="宋体" w:hAnsi="宋体" w:cstheme="minorBidi"/>
          <w:b/>
          <w:sz w:val="28"/>
          <w:szCs w:val="28"/>
          <w:lang w:val="en-US" w:eastAsia="zh-CN"/>
        </w:rPr>
        <w:t>自治区级</w:t>
      </w:r>
      <w:bookmarkStart w:id="0" w:name="_GoBack"/>
      <w:bookmarkEnd w:id="0"/>
      <w:r>
        <w:rPr>
          <w:rFonts w:ascii="宋体" w:hAnsi="宋体" w:cstheme="minorBidi"/>
          <w:b/>
          <w:sz w:val="28"/>
          <w:szCs w:val="28"/>
        </w:rPr>
        <w:t>一流本科专业</w:t>
      </w:r>
      <w:r>
        <w:rPr>
          <w:rFonts w:hint="eastAsia" w:ascii="宋体" w:hAnsi="宋体" w:cstheme="minorBidi"/>
          <w:b/>
          <w:sz w:val="28"/>
          <w:szCs w:val="28"/>
        </w:rPr>
        <w:t>建设考核标准</w:t>
      </w:r>
    </w:p>
    <w:tbl>
      <w:tblPr>
        <w:tblStyle w:val="2"/>
        <w:tblW w:w="8916" w:type="dxa"/>
        <w:jc w:val="center"/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6"/>
        <w:gridCol w:w="1116"/>
        <w:gridCol w:w="2968"/>
        <w:gridCol w:w="3706"/>
      </w:tblGrid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  <w:jc w:val="center"/>
        </w:trPr>
        <w:tc>
          <w:tcPr>
            <w:tcW w:w="112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一级</w:t>
            </w:r>
          </w:p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指标</w:t>
            </w:r>
          </w:p>
        </w:tc>
        <w:tc>
          <w:tcPr>
            <w:tcW w:w="11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二级</w:t>
            </w:r>
          </w:p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指标</w:t>
            </w: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国家级建设标准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自治区级建设标准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1" w:hRule="atLeast"/>
          <w:jc w:val="center"/>
        </w:trPr>
        <w:tc>
          <w:tcPr>
            <w:tcW w:w="1126" w:type="dxa"/>
            <w:vMerge w:val="restart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专业类教学质量国家标准达标情况</w:t>
            </w:r>
          </w:p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（100分）</w:t>
            </w:r>
          </w:p>
        </w:tc>
        <w:tc>
          <w:tcPr>
            <w:tcW w:w="11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培养目标(15)</w:t>
            </w:r>
          </w:p>
        </w:tc>
        <w:tc>
          <w:tcPr>
            <w:tcW w:w="66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专业培养目标契合教学质量国家标准指导意见。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11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课程体系</w:t>
            </w:r>
          </w:p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(20)</w:t>
            </w:r>
          </w:p>
        </w:tc>
        <w:tc>
          <w:tcPr>
            <w:tcW w:w="66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专业课程体系总体框架、各类型课程设置、核心课程开出率、实践教学过程符合教学质量国家标准，注重课程思政建设。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7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教学规范(15)</w:t>
            </w:r>
          </w:p>
        </w:tc>
        <w:tc>
          <w:tcPr>
            <w:tcW w:w="66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本专业教师教学过程及教学行为规范，教学管理文件及教学档案齐备，符合教学质量国家标准。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师资队伍(15)</w:t>
            </w:r>
          </w:p>
        </w:tc>
        <w:tc>
          <w:tcPr>
            <w:tcW w:w="66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专业师资规模、结构及教师水平符合教学质量国家标准，专业生师比符合相关认证标准。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9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教学条件(20)</w:t>
            </w:r>
          </w:p>
        </w:tc>
        <w:tc>
          <w:tcPr>
            <w:tcW w:w="66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专业教学设施建设、信息资源购置、实践基地数量、教学经费投入符合教学质量国家标准。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9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质量保障(15)</w:t>
            </w:r>
          </w:p>
        </w:tc>
        <w:tc>
          <w:tcPr>
            <w:tcW w:w="66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专业设有质量保障体系，教学过程质量监控机制、毕业生跟踪反馈机制、持续改进机制符合教学质量国家标准。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89" w:hRule="atLeast"/>
          <w:jc w:val="center"/>
        </w:trPr>
        <w:tc>
          <w:tcPr>
            <w:tcW w:w="1126" w:type="dxa"/>
            <w:vMerge w:val="restart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Cs w:val="21"/>
              </w:rPr>
              <w:t>专业建设成效（100分）</w:t>
            </w:r>
          </w:p>
        </w:tc>
        <w:tc>
          <w:tcPr>
            <w:tcW w:w="11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人才培养成效（30）</w:t>
            </w: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较立项当年专业招生考试第一志愿上线率、新生报到率有明显提高。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较立项当年专业招生考试第一志愿上线率、新生报到率有提高。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14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专业实习管理规范，实习教学效果良好；重视学生实践能力培养，学生在国家级比赛中表现优秀，取得较好名次。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专业实习管理规范，实习教学效果良好；重视学生实践能力培养，学生在省部级比赛中表现良好，获得较好名次。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06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专业严格执行毕业论文（设计）标准和规定，高阶性、创新性、挑战度的优良毕业论文（设计）占比高。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专业严格执行毕业论文（设计）标准和规定，具有一定比例的高阶性、创新性、挑战度的优良毕业论文（设计）。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37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专业就业率有较大提高；建立就业跟踪机制，能够定期对社会需求和毕业生质量进行跟踪调查，毕业生受到用人单位广泛欢迎，社会声誉高。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专业就业率有一定提高；建立就业跟踪机制，能够定期对社会需求和毕业生质量进行跟踪调查，用人单位满意度较高。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66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卓越计划相关专业形成本专业卓越或拔尖计划培养方案，并建成校级创新实验班。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0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教学工程建设成效（30）</w:t>
            </w: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spacing w:line="320" w:lineRule="exact"/>
              <w:ind w:firstLine="420" w:firstLineChars="200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专业具备支撑一流专业人才培养的课程体系，建设一批高水平课程，获批</w:t>
            </w:r>
            <w:r>
              <w:rPr>
                <w:rFonts w:ascii="仿宋" w:hAnsi="仿宋" w:eastAsia="仿宋" w:cs="仿宋"/>
                <w:kern w:val="0"/>
                <w:szCs w:val="21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门以上（含</w:t>
            </w:r>
            <w:r>
              <w:rPr>
                <w:rFonts w:ascii="仿宋" w:hAnsi="仿宋" w:eastAsia="仿宋" w:cs="仿宋"/>
                <w:kern w:val="0"/>
                <w:szCs w:val="21"/>
              </w:rPr>
              <w:t>3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门）校级一流课程，其中至少1门为课程思政类课程，2门为专业核心课。所有课程均为线上线下混合或纯线上模式类课程。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专业具备支撑一流专业人才培养的课程体系，建设一批高水平课程，获批</w:t>
            </w:r>
            <w:r>
              <w:rPr>
                <w:rFonts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门以上（含</w:t>
            </w:r>
            <w:r>
              <w:rPr>
                <w:rFonts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门）校级一流课程，其中至少1门为课程思政类课程，</w:t>
            </w:r>
            <w:r>
              <w:rPr>
                <w:rFonts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门为专业核心课。所有课程均为线上线下混合或纯线上模式类课程。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专业具有完善的教材审核制度，教师编写教材积极性高，本专业教师主编或参编有较高水平的教材。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专业具有完善的教材审批制度，教师编写教材积极性高，本专业教师有主编或参编教材。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专业基层教学组织制度健全，具有优秀的教学团队和常态化青年教师成长发展机制。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专业基层教学组织制度健全，具有合理的教学团队和常态化青年教师成长发展机制。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9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重视教师培训，注重团队建设，获批自治区级教学名师、能手或教学大赛获奖。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重视教师培训，注重团队建设，获批校级教学名师、能手或教学大赛获奖。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40" w:hRule="atLeast"/>
          <w:jc w:val="center"/>
        </w:trPr>
        <w:tc>
          <w:tcPr>
            <w:tcW w:w="112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教学改革成效（20）</w:t>
            </w: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积极推动专业教学改革，鼓励教学研究，考核期内获批</w:t>
            </w:r>
            <w:r>
              <w:rPr>
                <w:rFonts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项自治区级及以上教学改革项目（含教师教育项目），或在核心期刊发表教改论文</w:t>
            </w:r>
            <w:r>
              <w:rPr>
                <w:rFonts w:ascii="仿宋" w:hAnsi="仿宋" w:eastAsia="仿宋" w:cs="仿宋"/>
                <w:kern w:val="0"/>
                <w:szCs w:val="21"/>
              </w:rPr>
              <w:t>2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篇及以上。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积极推动专业教学改革，鼓励教学研究，考核期内获批</w:t>
            </w:r>
            <w:r>
              <w:rPr>
                <w:rFonts w:ascii="仿宋" w:hAnsi="仿宋" w:eastAsia="仿宋" w:cs="仿宋"/>
                <w:kern w:val="0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项自治区级及以上教学改革项目（含教师教育项目），或在核心期刊发表教改论文1篇及以上。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28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积极推广培育教学成果，获得1项自治区级教学成果奖或2项校级教学成果奖。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积极推广培育教学成果，获</w:t>
            </w:r>
            <w:r>
              <w:rPr>
                <w:rFonts w:ascii="仿宋" w:hAnsi="仿宋" w:eastAsia="仿宋" w:cs="仿宋"/>
                <w:kern w:val="0"/>
                <w:szCs w:val="21"/>
              </w:rPr>
              <w:t xml:space="preserve"> 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项校级教学成果奖。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4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1116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专业认证与特色（20）</w:t>
            </w: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积极筹备专业认证工作，向相关认证机构提交认证申请并通过认证。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积极筹备专业认证工作，向相关认证机构提交认证申请。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7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16" w:type="dxa"/>
            <w:vMerge w:val="continue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296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专业定位准确，特色显著，与国内、区内其他学校同类专业相比具有一定优势与特色。</w:t>
            </w:r>
          </w:p>
        </w:tc>
        <w:tc>
          <w:tcPr>
            <w:tcW w:w="37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专业定位明确，与国内、区内其他学校同类专业相比具有一定优势与特色。</w:t>
            </w:r>
          </w:p>
        </w:tc>
      </w:tr>
      <w:tr>
        <w:tblPrEx>
          <w:tblBorders>
            <w:top w:val="single" w:color="auto" w:sz="2" w:space="0"/>
            <w:left w:val="single" w:color="auto" w:sz="2" w:space="0"/>
            <w:bottom w:val="single" w:color="auto" w:sz="2" w:space="0"/>
            <w:right w:val="single" w:color="auto" w:sz="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80" w:hRule="atLeast"/>
          <w:jc w:val="center"/>
        </w:trPr>
        <w:tc>
          <w:tcPr>
            <w:tcW w:w="1126" w:type="dxa"/>
            <w:vMerge w:val="continue"/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b/>
                <w:bCs/>
                <w:kern w:val="0"/>
                <w:szCs w:val="21"/>
              </w:rPr>
            </w:pPr>
          </w:p>
        </w:tc>
        <w:tc>
          <w:tcPr>
            <w:tcW w:w="111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ascii="仿宋" w:hAnsi="仿宋" w:eastAsia="仿宋" w:cs="仿宋"/>
                <w:bCs/>
                <w:kern w:val="0"/>
                <w:szCs w:val="21"/>
              </w:rPr>
              <w:t>负面清单</w:t>
            </w:r>
            <w:r>
              <w:rPr>
                <w:rFonts w:hint="eastAsia" w:ascii="仿宋" w:hAnsi="仿宋" w:eastAsia="仿宋" w:cs="仿宋"/>
                <w:bCs/>
                <w:kern w:val="0"/>
                <w:szCs w:val="21"/>
              </w:rPr>
              <w:t>所列情况（按照实际情况1项扣1分）</w:t>
            </w:r>
          </w:p>
        </w:tc>
        <w:tc>
          <w:tcPr>
            <w:tcW w:w="6674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widowControl/>
              <w:spacing w:line="320" w:lineRule="exact"/>
              <w:ind w:firstLine="420"/>
              <w:jc w:val="left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学生体质检测不合格（-1分）；本科毕业论文抽检被上级部门通报（-3分）；毕业论文查重率高于50%（-3分）；任课教师校级教学督导成绩低于80分（-3分）；学生课堂出勤率低（-2分）；学生考试作弊（-2分）；考研率低于学校平均水平（-2）；监考老师不负责任并造成不良后果（-2）。</w:t>
            </w:r>
          </w:p>
        </w:tc>
      </w:tr>
    </w:tbl>
    <w:p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JlOWQzZGRhMjgzMTJkYTA0YzQ0YWRhMTUwYjJlZTEifQ=="/>
  </w:docVars>
  <w:rsids>
    <w:rsidRoot w:val="00706D29"/>
    <w:rsid w:val="00164CA2"/>
    <w:rsid w:val="001A13D0"/>
    <w:rsid w:val="003E7542"/>
    <w:rsid w:val="00706D29"/>
    <w:rsid w:val="00B6406B"/>
    <w:rsid w:val="300246C3"/>
    <w:rsid w:val="4F8922EB"/>
    <w:rsid w:val="7562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1671</Words>
  <Characters>1708</Characters>
  <Lines>12</Lines>
  <Paragraphs>3</Paragraphs>
  <TotalTime>8</TotalTime>
  <ScaleCrop>false</ScaleCrop>
  <LinksUpToDate>false</LinksUpToDate>
  <CharactersWithSpaces>1709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2023-10-12T07:36:00Z</dcterms:created>
  <dc:creator>Administrator</dc:creator>
  <cp:lastModifiedBy>Ajay阿杰</cp:lastModifiedBy>
  <dcterms:modified xsi:type="dcterms:W3CDTF">2023-10-13T08:34:05Z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32079A14BC9E4D199B1E2DAA920F5430_12</vt:lpwstr>
  </property>
</Properties>
</file>