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</w:t>
      </w: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  <w:lang w:val="en-US" w:eastAsia="zh-CN"/>
        </w:rPr>
        <w:t>4</w:t>
      </w:r>
      <w:bookmarkStart w:id="0" w:name="_GoBack"/>
      <w:bookmarkEnd w:id="0"/>
    </w:p>
    <w:p>
      <w:pPr>
        <w:spacing w:after="156" w:afterLines="50" w:line="560" w:lineRule="exact"/>
        <w:jc w:val="center"/>
        <w:rPr>
          <w:rFonts w:ascii="方正小标宋简体" w:eastAsia="方正小标宋简体" w:cs="Calibri"/>
          <w:b/>
          <w:bCs/>
          <w:spacing w:val="-4"/>
          <w:sz w:val="36"/>
          <w:szCs w:val="36"/>
        </w:rPr>
      </w:pPr>
      <w:r>
        <w:rPr>
          <w:rFonts w:hint="eastAsia" w:ascii="方正小标宋简体" w:eastAsia="方正小标宋简体" w:cs="Calibri"/>
          <w:b/>
          <w:bCs/>
          <w:spacing w:val="-4"/>
          <w:sz w:val="36"/>
          <w:szCs w:val="36"/>
        </w:rPr>
        <w:t>北海艺术设计学院自治区级</w:t>
      </w:r>
      <w:r>
        <w:rPr>
          <w:rFonts w:ascii="方正小标宋简体" w:eastAsia="方正小标宋简体" w:cs="Calibri"/>
          <w:b/>
          <w:bCs/>
          <w:spacing w:val="-4"/>
          <w:sz w:val="36"/>
          <w:szCs w:val="36"/>
        </w:rPr>
        <w:t>一流本科专业</w:t>
      </w:r>
      <w:r>
        <w:rPr>
          <w:rFonts w:hint="eastAsia" w:ascii="方正小标宋简体" w:eastAsia="方正小标宋简体" w:cs="Calibri"/>
          <w:b/>
          <w:bCs/>
          <w:spacing w:val="-4"/>
          <w:sz w:val="36"/>
          <w:szCs w:val="36"/>
        </w:rPr>
        <w:t>建设考核自评表</w:t>
      </w:r>
    </w:p>
    <w:tbl>
      <w:tblPr>
        <w:tblStyle w:val="4"/>
        <w:tblW w:w="13839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6"/>
        <w:gridCol w:w="1102"/>
        <w:gridCol w:w="2640"/>
        <w:gridCol w:w="2805"/>
        <w:gridCol w:w="2925"/>
        <w:gridCol w:w="2460"/>
        <w:gridCol w:w="781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1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一级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指标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二级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指标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自治区级建设标准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A类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B类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C类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自评得分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5" w:hRule="atLeast"/>
          <w:jc w:val="center"/>
        </w:trPr>
        <w:tc>
          <w:tcPr>
            <w:tcW w:w="1126" w:type="dxa"/>
            <w:vMerge w:val="restart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专业类教学质量国家标准达标情况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（100分）</w:t>
            </w: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培养目标(15)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专业培养目标 契合教学质量国家标准指导意见。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培养目标能够贯彻党的教育方针，落实国家相关政策要求，符合学校发展定位；专业培养目标内容明确清晰，能够反映学生毕业5年左右在社会和专业领域的发展预期，能够被学生、教师、教学管理人员及其他利益相关方理解和认同；定期进行合理性评价，并根据评价结果进行修改。（10-15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培养目标能够贯彻党的教育方针，落实国家相关政策要求，符合学校发展定位；专业培养目标内容明确清晰，能够反映学生毕业5年左右在社会和专业领域的发展预期，能够被学生、教师、教学管理人员及其他利益相关方理解和认同；未定期进行合理性评价。（7-10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专业培养目标能够贯彻党的教育方针，落实国家相关政策要求，符合学校发展定位；专业培养目标内容不明确，未定期进行合理性评价。（0-7分）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45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课程体系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(20)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专业课程体系总体框架、各类型课程设置、核心课程开出率、实践教学过程符合教学质量国家标准，注重课程思政建设。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课程体系能够支撑专业毕业要求，各类型课程设置比例合理，核心课程开出率达到90%以上；专业实习（教育实践）到达全覆盖，实习过程化管理支撑材料完备；注重课程思政建设，课程大纲（教案）有明确的课程思政内容。（15-20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课程体系能够支撑专业毕业要求，各类型课程设置比例合理，核心课程开出率达到75%以上；专业实习（教育实践）基本覆盖，有实习过程化管理支撑材料；进行了课程思政建设，部分课程大纲（教案）含有课程思政内容。（10-15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课程体系基本支撑专业毕业要求，各类型课程设置比例基本合理，核心课程开出率达到60%以上；专业实习（教育实践）覆盖率不足70%，实习过程化管理材料不完备；不重视课程思政建设（0-10分）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9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教学规范(15)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本专业教师教学过程及教学行为规范，教学管理文件及教学档案齐备，符合教学质量国家标准。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有相对稳定的教学计划，执行变动过程有规范的论证和审批手续，具有完备的教学日历、课程大纲和教案，教学管理文件及教学档案完备，且有专人负责。（10-15分）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有相对稳定的教学计划，执行变动有审批手续，有完备的教学日历、课程大纲和教案，教学管理文件及教学档案基本完备。（7-10分）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教学计划变动随意，缺少变动审批手续，各类教学管理文件及教学档案不规范。（0-7分）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4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师资队伍(15)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专业师资规模、结构及教师水平符合教学质量国家标准，专业生师比符合相关认证标准。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专业有10名及以上专任教师，专任教师中硕博学位的比例达到90%，高级职称比例达到50%，教授给本科生上课比例达到100%，生师比低于18:1。（10-15分）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专业有7名及以上专任教师，专任教师中硕博学位的比例达到75%，高级职称比例达到30%，教授给本科生上课比例达到80%，生师比不高于18:1。（7-10分）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专业有5名及以上专任教师，专任教师中硕博学位的比例达到65%，高级职称比例低于30%，教授给本科生上课比例不足80%，生师比高于18:1。（0-7分）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45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教学条件(20)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专业教学设施建设、信息资源购置、实践基地数量、教学经费投入符合教学质量国家标准。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配备足够的教学实验实训资源，实践基地与实习生比例达高于1:20，生均教学经费超过学校平均水平的15%。（15-20分）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实验实训资源能基本满足本专业教学需要，实践基地与实习生比例达到1:20，生均教学经费超过学校平均水平的8%。（10-15分）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实验实训资源能不能满足本专业教学需要，实践基地与实习生比例不足1:20，生均教学经费低于学校平均水平的8%。（0-10分）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05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质量保障(15)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专业设有质量保障体系，教学过程质量监控机制、毕业生跟踪反馈机制、持续改进机制符合教学质量国家标准。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设有质量保障体系，反馈渠道顺畅，建立毕业生跟踪反馈机制，具有完备的毕业生跟踪反馈材料，能够根据问题持续改进，并有完备的持续改进档案。（10-15分）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设有质量保障体系，反馈渠道顺畅，建立毕业生跟踪反馈机制，有毕业生跟踪反馈材料，有持续改进机制。（7-10分）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设有质量保障体系，反馈渠道不畅，不了解大多数毕业生就业去向和用人单位满意度，无持续改进材料。（0-7分）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restart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专业建设成效（100分）</w:t>
            </w:r>
          </w:p>
        </w:tc>
        <w:tc>
          <w:tcPr>
            <w:tcW w:w="11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人才培养成效（30）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较立项当年专业招生考试第一志愿上线率、新生报到率有提高。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较立项当年专业招生考试第一志愿上线率、新生报到率有提高。（3-5分）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较立项当年专业招生考试第一志愿上线率、新生报到率提高不明显。（1-3分）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较立项当年专业招生考试第一志愿上线率、新生报到率无提高。（0分）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专业实习管理规范，实习教学效果良好；重视学生实践能力培养，学生在省部级比赛中表现良好，获得较好名次。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 有详细的专业实习（教育实践）细则，配备有足够的指导教师，自治区级一流本科专业学生在省部级比赛中表现良好，获得一等奖及以上奖励。（</w:t>
            </w:r>
            <w:r>
              <w:rPr>
                <w:rFonts w:ascii="仿宋" w:hAnsi="仿宋" w:eastAsia="仿宋" w:cs="仿宋"/>
                <w:szCs w:val="21"/>
              </w:rPr>
              <w:t>5</w:t>
            </w:r>
            <w:r>
              <w:rPr>
                <w:rFonts w:hint="eastAsia" w:ascii="仿宋" w:hAnsi="仿宋" w:eastAsia="仿宋" w:cs="仿宋"/>
                <w:szCs w:val="21"/>
              </w:rPr>
              <w:t>-</w:t>
            </w:r>
            <w:r>
              <w:rPr>
                <w:rFonts w:ascii="仿宋" w:hAnsi="仿宋" w:eastAsia="仿宋" w:cs="仿宋"/>
                <w:szCs w:val="21"/>
              </w:rPr>
              <w:t>8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 有专业实习（教育实践）细则，配备有一定数量的指导教师，省级一流本科专业学生在省部级比赛中获得奖励。（</w:t>
            </w:r>
            <w:r>
              <w:rPr>
                <w:rFonts w:ascii="仿宋" w:hAnsi="仿宋" w:eastAsia="仿宋" w:cs="仿宋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szCs w:val="21"/>
              </w:rPr>
              <w:t>-</w:t>
            </w:r>
            <w:r>
              <w:rPr>
                <w:rFonts w:ascii="仿宋" w:hAnsi="仿宋" w:eastAsia="仿宋" w:cs="仿宋"/>
                <w:szCs w:val="21"/>
              </w:rPr>
              <w:t>5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有专业实习（教育实践）细则，配备有一定数量的指导教师，在国家级或省级比赛中无学生获奖。（0-</w:t>
            </w:r>
            <w:r>
              <w:rPr>
                <w:rFonts w:ascii="仿宋" w:hAnsi="仿宋" w:eastAsia="仿宋" w:cs="仿宋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专业严格执行毕业论文（设计）标准和规定，具有一定比例的高阶性、创新性、挑战度的优良毕业论文（设计）。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 对毕业论文（设计）选题、内容、学生指导、答辩等有明确要求，有完备的毕业论文（设计）过程化管理材料，有校级优秀毕业论文</w:t>
            </w:r>
            <w:r>
              <w:rPr>
                <w:rFonts w:ascii="仿宋" w:hAnsi="仿宋" w:eastAsia="仿宋" w:cs="仿宋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szCs w:val="21"/>
              </w:rPr>
              <w:t>篇及以上。（</w:t>
            </w:r>
            <w:r>
              <w:rPr>
                <w:rFonts w:ascii="仿宋" w:hAnsi="仿宋" w:eastAsia="仿宋" w:cs="仿宋"/>
                <w:szCs w:val="21"/>
              </w:rPr>
              <w:t>5</w:t>
            </w:r>
            <w:r>
              <w:rPr>
                <w:rFonts w:hint="eastAsia" w:ascii="仿宋" w:hAnsi="仿宋" w:eastAsia="仿宋" w:cs="仿宋"/>
                <w:szCs w:val="21"/>
              </w:rPr>
              <w:t>-</w:t>
            </w:r>
            <w:r>
              <w:rPr>
                <w:rFonts w:ascii="仿宋" w:hAnsi="仿宋" w:eastAsia="仿宋" w:cs="仿宋"/>
                <w:szCs w:val="21"/>
              </w:rPr>
              <w:t>8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 对毕业论文（设计）选题、内容、学生指导、答辩等有明确要求，有毕业论文（设计）过程化管理材料，有校级优秀毕业论文1篇及以上。（</w:t>
            </w:r>
            <w:r>
              <w:rPr>
                <w:rFonts w:ascii="仿宋" w:hAnsi="仿宋" w:eastAsia="仿宋" w:cs="仿宋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szCs w:val="21"/>
              </w:rPr>
              <w:t>-</w:t>
            </w:r>
            <w:r>
              <w:rPr>
                <w:rFonts w:ascii="仿宋" w:hAnsi="仿宋" w:eastAsia="仿宋" w:cs="仿宋"/>
                <w:szCs w:val="21"/>
              </w:rPr>
              <w:t>5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 对毕业论文（设计）选题、内容、学生指导、答辩等有要求，毕业论文（设计）过程化管理材料不齐全，没有校级优秀毕业论文。（0-</w:t>
            </w:r>
            <w:r>
              <w:rPr>
                <w:rFonts w:ascii="仿宋" w:hAnsi="仿宋" w:eastAsia="仿宋" w:cs="仿宋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专业就业率有一定提高；建立就业跟踪机制，能够定期对社会需求和毕业生质量进行跟踪调查，用人单位满意度较高。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自治区级一流本科专业就业率较立项当年有提高，有完备的毕业生跟踪机制，用人单位满意度超过80%。（3-5分）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专业就业率较立项当年提高不明显，有毕业生跟踪机制，用人单位满意度超过65%。（1-3分）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专业就业率较立项当年无提高，毕业生跟踪机制不完善，用人单位满意度不足65%。（0分）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5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卓越计划相关专业形成本专业卓越或拔尖计划培养方案，并建成校级创新实验班。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 xml:space="preserve">    本专业卓越或拔尖计划培养方案完整，并建成校级创新实验班。（</w:t>
            </w:r>
            <w:r>
              <w:rPr>
                <w:rFonts w:ascii="仿宋" w:hAnsi="仿宋" w:eastAsia="仿宋" w:cs="仿宋"/>
                <w:kern w:val="0"/>
                <w:szCs w:val="21"/>
              </w:rPr>
              <w:t>4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本专业卓越或拔尖计划培养方案完整，并建成院级创新实验班。（</w:t>
            </w:r>
            <w:r>
              <w:rPr>
                <w:rFonts w:ascii="仿宋" w:hAnsi="仿宋" w:eastAsia="仿宋" w:cs="仿宋"/>
                <w:kern w:val="0"/>
                <w:szCs w:val="21"/>
              </w:rPr>
              <w:t>2分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无卓越计划相关培养方案及校级创新实验班。（0分）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8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教学工程建设成效（30）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专业具备支撑一流专业人才培养的课程体系，建设一批高水平课程，获批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门以上（含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门）校级一流课程，其中至少1门为课程思政类课程，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门为专业核心课。所有课程均为线上线下混合或纯线上模式类课程。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门以上（含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门）校级一流课程，其中至少1门为课程思政类课程，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门为专业核心课。所有课程均为线上线下混合或纯线上模式类课程。（7-10分）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门以上（含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门）校级一流课程，其中至少1门为课程思政类课程。所有课程均为线上线下混合或纯线上模式类课程。（4-7分）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积极申报打造高水平课程，积极推进课程思政建设。（0-4分）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4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专业具有完善的教材审批制度，教师编写教材积极性高，本专业教师有主编或参编教材。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具有教材审核制度，专业获批后有教师主编出版教材。（7-10分）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具有教材审核制度，专业获批后有教师参编出版教材。（4-7分）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具有教材审核制度，专业获批后没有教师主编或参编出版教材。（0-4分）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1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专业基层教学组织制度健全，具有合理的教学团队和常态化青年教师成长发展机制。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自治区级一流本科专业建设点</w:t>
            </w:r>
            <w:r>
              <w:rPr>
                <w:rFonts w:hint="eastAsia" w:ascii="仿宋" w:hAnsi="仿宋" w:eastAsia="仿宋" w:cs="仿宋"/>
                <w:szCs w:val="21"/>
              </w:rPr>
              <w:t>建有1个校级优秀教学团队。（3-5分）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 xml:space="preserve">   专业基层教学组织制度较健全，有常态化青年教师成长发展机制。（1-3分）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专业基层教学组织管理不规范，无建设成果。（0分）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17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重视教师培训，注重团队建设，获批校级教学名师、能手或教学大赛获奖。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有科学可行的教师培训方案，获批有教学名师。（3-5分）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有科学可行的教师培训方案。（1-3分）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不重视教师培训、团队建设，教学名师。（0分）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2" w:hRule="atLeast"/>
          <w:jc w:val="center"/>
        </w:trPr>
        <w:tc>
          <w:tcPr>
            <w:tcW w:w="112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教学改革成效（20）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积极推动专业教学改革，鼓励教学研究，考核期内获批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项自治区级及以上教学改革项目（含教师教育项目），或在核心期刊发表教改论文1篇及以上。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积极推动专业教学改革，鼓励教学研究，一流本科专业建设点获批1项自治区级及以上教学改革项目（含教师教育项目）或在核心期刊发表教改论文1篇及以上。（7-10分）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鼓励教学研究，一流本科专业建设点教师发表教改论文1篇及以上。（4-7分）</w:t>
            </w:r>
          </w:p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鼓励教学研究，但没有相应成果。（1-3分）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85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积极推广培育教学成果，获</w:t>
            </w:r>
            <w:r>
              <w:rPr>
                <w:rFonts w:ascii="仿宋" w:hAnsi="仿宋" w:eastAsia="仿宋" w:cs="仿宋"/>
                <w:kern w:val="0"/>
                <w:szCs w:val="21"/>
              </w:rPr>
              <w:t xml:space="preserve"> 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项校级教学成果奖。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积极推广培育教学成果，一流本科专业建设点获 1项校级教学成果奖。（7-10分）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积极推广培育教学成果，一流本科专业建设点获 1项校级教学成果奖入围终评。（</w:t>
            </w:r>
            <w:r>
              <w:rPr>
                <w:rFonts w:ascii="仿宋" w:hAnsi="仿宋" w:eastAsia="仿宋" w:cs="仿宋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szCs w:val="21"/>
              </w:rPr>
              <w:t>-</w:t>
            </w:r>
            <w:r>
              <w:rPr>
                <w:rFonts w:ascii="仿宋" w:hAnsi="仿宋" w:eastAsia="仿宋" w:cs="仿宋"/>
                <w:szCs w:val="21"/>
              </w:rPr>
              <w:t>6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积极推广培育教学成果，但没有相应成果。（</w:t>
            </w:r>
            <w:r>
              <w:rPr>
                <w:rFonts w:ascii="仿宋" w:hAnsi="仿宋" w:eastAsia="仿宋" w:cs="仿宋"/>
                <w:szCs w:val="21"/>
              </w:rPr>
              <w:t>1-2</w:t>
            </w:r>
            <w:r>
              <w:rPr>
                <w:rFonts w:hint="eastAsia" w:ascii="仿宋" w:hAnsi="仿宋" w:eastAsia="仿宋" w:cs="仿宋"/>
                <w:szCs w:val="21"/>
              </w:rPr>
              <w:t>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02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专业认证与特色（20）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积极筹备专业认证工作，向相关认证机构提交认证申请。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积极筹备专业认证工作，一流本科专业建设点向相关认证机构提交认证申请。（7-10分）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积极筹备专业认证工作，学习认证理念，向学校提交认证申请书。（4-7分）</w:t>
            </w:r>
          </w:p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开展认证培训，学习认证理念，未开始准备认证申请材料。（1-4分）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6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专业定位明确，与国内、区内其他学校同类专业相比具有一定优势与特色。</w:t>
            </w:r>
          </w:p>
        </w:tc>
        <w:tc>
          <w:tcPr>
            <w:tcW w:w="280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专业定位准确，特色显著，与国内、区内其他学校同类专业相比具有一定优势与特色。（7-10分）</w:t>
            </w:r>
          </w:p>
        </w:tc>
        <w:tc>
          <w:tcPr>
            <w:tcW w:w="2925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专业定位清晰，与国内、区内其他学校同类专业相比具有一定特色。（4-7分）</w:t>
            </w:r>
          </w:p>
        </w:tc>
        <w:tc>
          <w:tcPr>
            <w:tcW w:w="246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专业定位清晰，特色与优势不足。（1-4分）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1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0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ascii="仿宋" w:hAnsi="仿宋" w:eastAsia="仿宋" w:cs="仿宋"/>
                <w:bCs/>
                <w:kern w:val="0"/>
                <w:szCs w:val="21"/>
              </w:rPr>
              <w:t>负面清单</w:t>
            </w:r>
            <w:r>
              <w:rPr>
                <w:rFonts w:hint="eastAsia" w:ascii="仿宋" w:hAnsi="仿宋" w:eastAsia="仿宋" w:cs="仿宋"/>
                <w:bCs/>
                <w:kern w:val="0"/>
                <w:szCs w:val="21"/>
              </w:rPr>
              <w:t>所列情况</w:t>
            </w:r>
          </w:p>
        </w:tc>
        <w:tc>
          <w:tcPr>
            <w:tcW w:w="264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 w:firstLineChars="200"/>
              <w:rPr>
                <w:rFonts w:ascii="仿宋" w:hAnsi="仿宋" w:eastAsia="仿宋" w:cs="仿宋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学生体质检测不合格；本科毕业论文抽检被上级部门通报；毕业论文查重率高于50%；任课教师校级教学督导成绩低于80分；学生课堂出勤率低；学生考试作弊；考研率低于学校平均水平；监考老师不负责任并造成不良后果。</w:t>
            </w:r>
          </w:p>
        </w:tc>
        <w:tc>
          <w:tcPr>
            <w:tcW w:w="819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kern w:val="0"/>
                <w:szCs w:val="21"/>
              </w:rPr>
              <w:t>负面清单所列情况有1项扣1分。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Cs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13058" w:type="dxa"/>
            <w:gridSpan w:val="6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综合得分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（专业类教学质量国家标准达标情况得分*40%+专业建设成效得分*60%）</w:t>
            </w:r>
          </w:p>
        </w:tc>
        <w:tc>
          <w:tcPr>
            <w:tcW w:w="78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Cs/>
                <w:kern w:val="0"/>
                <w:szCs w:val="21"/>
              </w:rPr>
            </w:pPr>
          </w:p>
        </w:tc>
      </w:tr>
    </w:tbl>
    <w:p/>
    <w:sectPr>
      <w:type w:val="continuous"/>
      <w:pgSz w:w="16838" w:h="11906" w:orient="landscape"/>
      <w:pgMar w:top="1134" w:right="1797" w:bottom="1134" w:left="1797" w:header="680" w:footer="1134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E4YjU2Mzc4Y2NlZjE2MWRjMTc5MDQ3OTA5MWQ1ZTIifQ=="/>
  </w:docVars>
  <w:rsids>
    <w:rsidRoot w:val="00A70272"/>
    <w:rsid w:val="00164CA2"/>
    <w:rsid w:val="001A13D0"/>
    <w:rsid w:val="003E7542"/>
    <w:rsid w:val="00661A18"/>
    <w:rsid w:val="007244DD"/>
    <w:rsid w:val="007C29B1"/>
    <w:rsid w:val="00A70272"/>
    <w:rsid w:val="00B6406B"/>
    <w:rsid w:val="00EA3151"/>
    <w:rsid w:val="00F17EA2"/>
    <w:rsid w:val="00F525B1"/>
    <w:rsid w:val="12B40A12"/>
    <w:rsid w:val="29F9652C"/>
    <w:rsid w:val="5AFF530D"/>
    <w:rsid w:val="6D5D6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脚 字符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3900</Words>
  <Characters>4120</Characters>
  <Lines>30</Lines>
  <Paragraphs>8</Paragraphs>
  <TotalTime>18</TotalTime>
  <ScaleCrop>false</ScaleCrop>
  <LinksUpToDate>false</LinksUpToDate>
  <CharactersWithSpaces>4151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2023-10-12T07:50:00Z</dcterms:created>
  <dc:creator>Administrator</dc:creator>
  <cp:lastModifiedBy>Ajay阿杰</cp:lastModifiedBy>
  <dcterms:modified xsi:type="dcterms:W3CDTF">2023-10-13T07:32:48Z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7A88860EAB484A3DA2ABDDC058E7FD51_12</vt:lpwstr>
  </property>
</Properties>
</file>