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/>
        <w:keepLines/>
        <w:widowControl w:val="0"/>
        <w:shd w:val="clear" w:color="auto" w:fill="auto"/>
        <w:bidi w:val="0"/>
        <w:spacing w:line="240" w:lineRule="auto"/>
        <w:ind w:left="0" w:leftChars="0" w:right="0" w:firstLine="0" w:firstLineChars="0"/>
        <w:jc w:val="both"/>
        <w:rPr>
          <w:rFonts w:hint="default" w:ascii="方正仿宋简体" w:hAnsi="方正仿宋简体" w:eastAsia="方正仿宋简体" w:cs="方正仿宋简体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</w:pPr>
      <w:bookmarkStart w:id="0" w:name="bookmark2"/>
      <w:bookmarkStart w:id="1" w:name="bookmark0"/>
      <w:bookmarkStart w:id="2" w:name="bookmark1"/>
      <w:r>
        <w:rPr>
          <w:rFonts w:hint="eastAsia" w:ascii="方正仿宋简体" w:hAnsi="方正仿宋简体" w:eastAsia="方正仿宋简体" w:cs="方正仿宋简体"/>
          <w:color w:val="000000"/>
          <w:spacing w:val="0"/>
          <w:w w:val="100"/>
          <w:position w:val="0"/>
          <w:sz w:val="32"/>
          <w:szCs w:val="32"/>
          <w:lang w:val="en-US" w:eastAsia="zh-CN" w:bidi="zh-CN"/>
        </w:rPr>
        <w:t>附件8：</w:t>
      </w:r>
    </w:p>
    <w:p>
      <w:pPr>
        <w:pStyle w:val="4"/>
        <w:keepNext/>
        <w:keepLines/>
        <w:widowControl w:val="0"/>
        <w:shd w:val="clear" w:color="auto" w:fill="auto"/>
        <w:bidi w:val="0"/>
        <w:spacing w:line="240" w:lineRule="auto"/>
        <w:ind w:left="0" w:leftChars="0" w:right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3" w:name="_GoBack"/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position w:val="0"/>
          <w:sz w:val="44"/>
          <w:szCs w:val="44"/>
          <w:lang w:val="zh-CN" w:eastAsia="zh-CN" w:bidi="zh-CN"/>
        </w:rPr>
        <w:t>“智慧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position w:val="0"/>
          <w:sz w:val="44"/>
          <w:szCs w:val="44"/>
        </w:rPr>
        <w:t>团建”系统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position w:val="0"/>
          <w:sz w:val="44"/>
          <w:szCs w:val="44"/>
          <w:lang w:val="en-US" w:eastAsia="zh-CN"/>
        </w:rPr>
        <w:t>年度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w w:val="100"/>
          <w:position w:val="0"/>
          <w:sz w:val="44"/>
          <w:szCs w:val="44"/>
        </w:rPr>
        <w:t>评议操作指引</w:t>
      </w:r>
      <w:bookmarkEnd w:id="0"/>
      <w:bookmarkEnd w:id="1"/>
      <w:bookmarkEnd w:id="2"/>
    </w:p>
    <w:bookmarkEnd w:id="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评议激励。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记载团员年度教育评议等次（优秀、合格、 基本合格、不合格，优秀率不超过30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%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）和评优次数，进行累计叠加。评优次数与荣誉激励挂钩，作为团员获得团内其他激励的基础性条件，形成持续激励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30" w:firstLineChars="3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ge">
              <wp:posOffset>3408045</wp:posOffset>
            </wp:positionV>
            <wp:extent cx="5723890" cy="3649345"/>
            <wp:effectExtent l="0" t="0" r="10160" b="825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364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团支部管理员点击“团内激励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-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评议激励”菜单，界面默认为本支部团员列表及当前年度评议信息。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可选择单独或批量记载建议评议等次（如未参加评议, 选择“未参加评议”选项并注明原因）。如单独记载，则逐一在每名团员“评议结果”列的下拉菜单中选择建议评议等次；如选择批量记载，则先勾选获评同一等次的团员，再点击“批量团员教育评议”按钮并选择相应建议评议等次。如团员评议结果为基本合格/不合格，须上传组织处置或纪律处分文件。系统默认评议年度为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年至当前年度，可通过页面右上角的年度筛选功能选择。“年度评议优秀次数累计”列的数据为团员202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年以后累计获评“优秀”等次数。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评议结果记载完成后，须由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学院分团委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审核，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学院分团委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可结合实际调整评议等次。根据审核规则，评议结果为基本合格/不合格的团员，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学院分团委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在审核前须审阅组织处置或纪律处分决定。团支部管理员可在“上级认证”列中查看审核进度。</w:t>
      </w:r>
    </w:p>
    <w:sectPr>
      <w:pgSz w:w="11906" w:h="16838"/>
      <w:pgMar w:top="1701" w:right="1587" w:bottom="1701" w:left="158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012861A0"/>
    <w:rsid w:val="0128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Heading #1|1"/>
    <w:basedOn w:val="1"/>
    <w:uiPriority w:val="0"/>
    <w:pPr>
      <w:widowControl w:val="0"/>
      <w:shd w:val="clear" w:color="auto" w:fill="auto"/>
      <w:spacing w:before="100" w:after="120"/>
      <w:ind w:firstLine="620"/>
      <w:outlineLvl w:val="0"/>
    </w:pPr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2022-12-02T08:46:00Z</dcterms:created>
  <dc:creator>Benna</dc:creator>
  <cp:lastModifiedBy>Benna</cp:lastModifiedBy>
  <dcterms:modified xsi:type="dcterms:W3CDTF">2022-12-02T09:00:36Z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2D3D3E18D8E047F7A4A85F783CCF9AB8</vt:lpwstr>
  </property>
</Properties>
</file>