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903FB">
      <w:pPr>
        <w:spacing w:line="560" w:lineRule="exac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w:t>
      </w:r>
    </w:p>
    <w:p w14:paraId="53528768">
      <w:pPr>
        <w:spacing w:line="560" w:lineRule="exact"/>
        <w:jc w:val="center"/>
        <w:rPr>
          <w:rFonts w:ascii="方正小标宋简体" w:eastAsia="方正小标宋简体"/>
        </w:rPr>
      </w:pPr>
    </w:p>
    <w:p w14:paraId="0897055A">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202</w:t>
      </w:r>
      <w:r>
        <w:rPr>
          <w:rFonts w:hint="eastAsia" w:ascii="方正小标宋简体" w:eastAsia="方正小标宋简体"/>
          <w:sz w:val="44"/>
          <w:szCs w:val="44"/>
          <w:lang w:val="en-US" w:eastAsia="zh-CN"/>
        </w:rPr>
        <w:t>5</w:t>
      </w:r>
      <w:r>
        <w:rPr>
          <w:rFonts w:hint="eastAsia" w:ascii="方正小标宋简体" w:eastAsia="方正小标宋简体"/>
          <w:sz w:val="44"/>
          <w:szCs w:val="44"/>
        </w:rPr>
        <w:t>年度广西高等教育本科教学改革工程项目校内资格审核结果名单</w:t>
      </w:r>
    </w:p>
    <w:p w14:paraId="4188C3BD">
      <w:pPr>
        <w:spacing w:line="560" w:lineRule="exact"/>
        <w:jc w:val="center"/>
        <w:rPr>
          <w:rFonts w:ascii="方正小标宋简体" w:eastAsia="方正小标宋简体"/>
          <w:sz w:val="44"/>
          <w:szCs w:val="44"/>
        </w:rPr>
      </w:pPr>
    </w:p>
    <w:tbl>
      <w:tblPr>
        <w:tblStyle w:val="3"/>
        <w:tblW w:w="13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7821"/>
        <w:gridCol w:w="2170"/>
        <w:gridCol w:w="2719"/>
      </w:tblGrid>
      <w:tr w14:paraId="4119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blHeader/>
          <w:jc w:val="center"/>
        </w:trPr>
        <w:tc>
          <w:tcPr>
            <w:tcW w:w="885" w:type="dxa"/>
            <w:vAlign w:val="center"/>
          </w:tcPr>
          <w:p w14:paraId="411ECA24">
            <w:pPr>
              <w:spacing w:line="360" w:lineRule="exact"/>
              <w:jc w:val="center"/>
              <w:rPr>
                <w:rFonts w:ascii="宋体" w:hAnsi="宋体" w:eastAsia="宋体"/>
                <w:b/>
                <w:sz w:val="24"/>
              </w:rPr>
            </w:pPr>
            <w:r>
              <w:rPr>
                <w:rFonts w:hint="eastAsia" w:ascii="宋体" w:hAnsi="宋体" w:eastAsia="宋体"/>
                <w:b/>
                <w:sz w:val="24"/>
              </w:rPr>
              <w:t>序号</w:t>
            </w:r>
          </w:p>
        </w:tc>
        <w:tc>
          <w:tcPr>
            <w:tcW w:w="7821" w:type="dxa"/>
            <w:vAlign w:val="center"/>
          </w:tcPr>
          <w:p w14:paraId="0532CC75">
            <w:pPr>
              <w:spacing w:line="360" w:lineRule="exact"/>
              <w:jc w:val="center"/>
              <w:rPr>
                <w:rFonts w:ascii="宋体" w:hAnsi="宋体" w:eastAsia="宋体"/>
                <w:b/>
                <w:sz w:val="24"/>
              </w:rPr>
            </w:pPr>
            <w:r>
              <w:rPr>
                <w:rFonts w:ascii="宋体" w:hAnsi="宋体" w:eastAsia="宋体"/>
                <w:b/>
                <w:sz w:val="24"/>
              </w:rPr>
              <w:t>项目</w:t>
            </w:r>
            <w:r>
              <w:rPr>
                <w:rFonts w:hint="eastAsia" w:ascii="宋体" w:hAnsi="宋体" w:eastAsia="宋体"/>
                <w:b/>
                <w:sz w:val="24"/>
              </w:rPr>
              <w:t>名称</w:t>
            </w:r>
          </w:p>
        </w:tc>
        <w:tc>
          <w:tcPr>
            <w:tcW w:w="2170" w:type="dxa"/>
            <w:vAlign w:val="center"/>
          </w:tcPr>
          <w:p w14:paraId="119B7F9A">
            <w:pPr>
              <w:spacing w:line="360" w:lineRule="exact"/>
              <w:jc w:val="center"/>
              <w:rPr>
                <w:rFonts w:hint="default" w:ascii="宋体" w:hAnsi="宋体" w:eastAsia="宋体"/>
                <w:b/>
                <w:sz w:val="24"/>
                <w:lang w:val="en-US" w:eastAsia="zh-CN"/>
              </w:rPr>
            </w:pPr>
            <w:r>
              <w:rPr>
                <w:rFonts w:hint="eastAsia" w:ascii="宋体" w:hAnsi="宋体" w:eastAsia="宋体"/>
                <w:b/>
                <w:sz w:val="24"/>
                <w:lang w:val="en-US" w:eastAsia="zh-CN"/>
              </w:rPr>
              <w:t>项目负责人</w:t>
            </w:r>
          </w:p>
        </w:tc>
        <w:tc>
          <w:tcPr>
            <w:tcW w:w="2719" w:type="dxa"/>
            <w:vAlign w:val="center"/>
          </w:tcPr>
          <w:p w14:paraId="25B9F675">
            <w:pPr>
              <w:spacing w:line="360" w:lineRule="exact"/>
              <w:jc w:val="center"/>
              <w:rPr>
                <w:rFonts w:ascii="宋体" w:hAnsi="宋体" w:eastAsia="宋体"/>
                <w:b/>
                <w:sz w:val="24"/>
              </w:rPr>
            </w:pPr>
            <w:r>
              <w:rPr>
                <w:rFonts w:ascii="宋体" w:hAnsi="宋体" w:eastAsia="宋体"/>
                <w:b/>
                <w:sz w:val="24"/>
              </w:rPr>
              <w:t>申</w:t>
            </w:r>
            <w:r>
              <w:rPr>
                <w:rFonts w:hint="eastAsia" w:ascii="宋体" w:hAnsi="宋体" w:eastAsia="宋体"/>
                <w:b/>
                <w:sz w:val="24"/>
                <w:lang w:val="en-US" w:eastAsia="zh-CN"/>
              </w:rPr>
              <w:t>报</w:t>
            </w:r>
            <w:r>
              <w:rPr>
                <w:rFonts w:hint="eastAsia" w:ascii="宋体" w:hAnsi="宋体" w:eastAsia="宋体"/>
                <w:b/>
                <w:sz w:val="24"/>
              </w:rPr>
              <w:t>单位</w:t>
            </w:r>
          </w:p>
        </w:tc>
      </w:tr>
      <w:tr w14:paraId="1851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vAlign w:val="center"/>
          </w:tcPr>
          <w:p w14:paraId="59707BBA">
            <w:pPr>
              <w:spacing w:line="400" w:lineRule="exact"/>
              <w:jc w:val="center"/>
              <w:rPr>
                <w:rFonts w:hint="eastAsia" w:ascii="宋体" w:hAnsi="宋体" w:eastAsia="宋体"/>
                <w:bCs/>
                <w:sz w:val="24"/>
                <w:lang w:eastAsia="zh-CN"/>
              </w:rPr>
            </w:pPr>
            <w:r>
              <w:rPr>
                <w:rFonts w:hint="eastAsia" w:ascii="宋体" w:hAnsi="宋体" w:eastAsia="宋体"/>
                <w:bCs/>
                <w:sz w:val="24"/>
                <w:lang w:val="en-US" w:eastAsia="zh-CN"/>
              </w:rPr>
              <w:t>1</w:t>
            </w:r>
          </w:p>
        </w:tc>
        <w:tc>
          <w:tcPr>
            <w:tcW w:w="7821" w:type="dxa"/>
            <w:shd w:val="clear" w:color="auto" w:fill="auto"/>
            <w:vAlign w:val="center"/>
          </w:tcPr>
          <w:p w14:paraId="43486FE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“AIGC+知识图谱”赋能《产品改良设计》课程教学模式创新与实践</w:t>
            </w:r>
          </w:p>
        </w:tc>
        <w:tc>
          <w:tcPr>
            <w:tcW w:w="2170" w:type="dxa"/>
            <w:shd w:val="clear" w:color="auto" w:fill="auto"/>
            <w:vAlign w:val="center"/>
          </w:tcPr>
          <w:p w14:paraId="05AE74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陈  洁</w:t>
            </w:r>
          </w:p>
        </w:tc>
        <w:tc>
          <w:tcPr>
            <w:tcW w:w="2719" w:type="dxa"/>
            <w:vAlign w:val="center"/>
          </w:tcPr>
          <w:p w14:paraId="36D873CE">
            <w:pPr>
              <w:jc w:val="center"/>
              <w:rPr>
                <w:rFonts w:ascii="宋体" w:hAnsi="宋体" w:eastAsia="宋体" w:cs="Times New Roman"/>
                <w:bCs/>
                <w:sz w:val="24"/>
                <w:szCs w:val="24"/>
              </w:rPr>
            </w:pPr>
            <w:r>
              <w:rPr>
                <w:rFonts w:hint="eastAsia" w:ascii="宋体" w:hAnsi="宋体" w:eastAsia="宋体" w:cs="Times New Roman"/>
                <w:sz w:val="24"/>
              </w:rPr>
              <w:t>设计艺术学院</w:t>
            </w:r>
          </w:p>
        </w:tc>
      </w:tr>
      <w:tr w14:paraId="4AA3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7E306F82">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2</w:t>
            </w:r>
          </w:p>
        </w:tc>
        <w:tc>
          <w:tcPr>
            <w:tcW w:w="7821" w:type="dxa"/>
            <w:shd w:val="clear" w:color="auto" w:fill="auto"/>
            <w:vAlign w:val="center"/>
          </w:tcPr>
          <w:p w14:paraId="4830AF5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数智驱动三维建模教学中多模态资源建构的实践研究</w:t>
            </w:r>
          </w:p>
        </w:tc>
        <w:tc>
          <w:tcPr>
            <w:tcW w:w="2170" w:type="dxa"/>
            <w:shd w:val="clear" w:color="auto" w:fill="auto"/>
            <w:vAlign w:val="center"/>
          </w:tcPr>
          <w:p w14:paraId="4ADB74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李柳杏</w:t>
            </w:r>
          </w:p>
        </w:tc>
        <w:tc>
          <w:tcPr>
            <w:tcW w:w="2719" w:type="dxa"/>
            <w:vAlign w:val="center"/>
          </w:tcPr>
          <w:p w14:paraId="4D91CF41">
            <w:pPr>
              <w:jc w:val="center"/>
              <w:rPr>
                <w:rFonts w:ascii="宋体" w:hAnsi="宋体" w:eastAsia="宋体" w:cs="Times New Roman"/>
                <w:bCs/>
                <w:sz w:val="24"/>
                <w:szCs w:val="24"/>
              </w:rPr>
            </w:pPr>
            <w:r>
              <w:rPr>
                <w:rFonts w:hint="eastAsia" w:ascii="宋体" w:hAnsi="宋体" w:eastAsia="宋体" w:cs="Times New Roman"/>
                <w:sz w:val="24"/>
              </w:rPr>
              <w:t>设计艺术学院</w:t>
            </w:r>
          </w:p>
        </w:tc>
      </w:tr>
      <w:tr w14:paraId="3B28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400D7D55">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cstheme="minorBidi"/>
                <w:bCs/>
                <w:kern w:val="2"/>
                <w:sz w:val="24"/>
                <w:szCs w:val="22"/>
                <w:lang w:val="en-US" w:eastAsia="zh-CN" w:bidi="ar-SA"/>
              </w:rPr>
              <w:t>3</w:t>
            </w:r>
          </w:p>
        </w:tc>
        <w:tc>
          <w:tcPr>
            <w:tcW w:w="7821" w:type="dxa"/>
            <w:shd w:val="clear" w:color="auto" w:fill="auto"/>
            <w:vAlign w:val="center"/>
          </w:tcPr>
          <w:p w14:paraId="0E48B0A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“艺科融合”理念下文创产品设计课程的支架式教学改革与实践</w:t>
            </w:r>
          </w:p>
        </w:tc>
        <w:tc>
          <w:tcPr>
            <w:tcW w:w="2170" w:type="dxa"/>
            <w:shd w:val="clear" w:color="auto" w:fill="auto"/>
            <w:vAlign w:val="center"/>
          </w:tcPr>
          <w:p w14:paraId="4B0920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林家琪</w:t>
            </w:r>
          </w:p>
        </w:tc>
        <w:tc>
          <w:tcPr>
            <w:tcW w:w="2719" w:type="dxa"/>
            <w:vAlign w:val="center"/>
          </w:tcPr>
          <w:p w14:paraId="7BCED3ED">
            <w:pPr>
              <w:jc w:val="center"/>
              <w:rPr>
                <w:rFonts w:ascii="宋体" w:hAnsi="宋体" w:eastAsia="宋体" w:cs="宋体"/>
                <w:sz w:val="24"/>
                <w:szCs w:val="24"/>
              </w:rPr>
            </w:pPr>
            <w:r>
              <w:rPr>
                <w:rFonts w:hint="eastAsia" w:ascii="宋体" w:hAnsi="宋体" w:eastAsia="宋体" w:cs="宋体"/>
                <w:sz w:val="24"/>
                <w:szCs w:val="24"/>
              </w:rPr>
              <w:t>设计艺术学院</w:t>
            </w:r>
          </w:p>
        </w:tc>
      </w:tr>
      <w:tr w14:paraId="4172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17965D8D">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cstheme="minorBidi"/>
                <w:bCs/>
                <w:kern w:val="2"/>
                <w:sz w:val="24"/>
                <w:szCs w:val="22"/>
                <w:lang w:val="en-US" w:eastAsia="zh-CN" w:bidi="ar-SA"/>
              </w:rPr>
              <w:t>4</w:t>
            </w:r>
          </w:p>
        </w:tc>
        <w:tc>
          <w:tcPr>
            <w:tcW w:w="7821" w:type="dxa"/>
            <w:shd w:val="clear" w:color="auto" w:fill="auto"/>
            <w:vAlign w:val="center"/>
          </w:tcPr>
          <w:p w14:paraId="1D29179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“需求引领•艺工协同•人文浸润”——产品设计专业产学研融合模式教学探索</w:t>
            </w:r>
          </w:p>
        </w:tc>
        <w:tc>
          <w:tcPr>
            <w:tcW w:w="2170" w:type="dxa"/>
            <w:shd w:val="clear" w:color="auto" w:fill="auto"/>
            <w:vAlign w:val="center"/>
          </w:tcPr>
          <w:p w14:paraId="16AEE2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徐志令</w:t>
            </w:r>
          </w:p>
        </w:tc>
        <w:tc>
          <w:tcPr>
            <w:tcW w:w="2719" w:type="dxa"/>
            <w:vAlign w:val="center"/>
          </w:tcPr>
          <w:p w14:paraId="23B3EB42">
            <w:pPr>
              <w:jc w:val="center"/>
              <w:rPr>
                <w:rFonts w:ascii="宋体" w:hAnsi="宋体" w:eastAsia="宋体" w:cs="宋体"/>
                <w:sz w:val="24"/>
                <w:szCs w:val="24"/>
              </w:rPr>
            </w:pPr>
            <w:r>
              <w:rPr>
                <w:rFonts w:hint="eastAsia" w:ascii="宋体" w:hAnsi="宋体" w:eastAsia="宋体" w:cs="宋体"/>
                <w:sz w:val="24"/>
                <w:szCs w:val="24"/>
              </w:rPr>
              <w:t>设计艺术学院</w:t>
            </w:r>
          </w:p>
        </w:tc>
      </w:tr>
      <w:tr w14:paraId="7C37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3399E18C">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5</w:t>
            </w:r>
          </w:p>
        </w:tc>
        <w:tc>
          <w:tcPr>
            <w:tcW w:w="7821" w:type="dxa"/>
            <w:shd w:val="clear" w:color="auto" w:fill="auto"/>
            <w:vAlign w:val="center"/>
          </w:tcPr>
          <w:p w14:paraId="70301FF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应用型环境设计专业设计基础课程群“一根二向三融四阶”协同育人体系构建与实践</w:t>
            </w:r>
          </w:p>
        </w:tc>
        <w:tc>
          <w:tcPr>
            <w:tcW w:w="2170" w:type="dxa"/>
            <w:shd w:val="clear" w:color="auto" w:fill="auto"/>
            <w:vAlign w:val="center"/>
          </w:tcPr>
          <w:p w14:paraId="612AD9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李东瑞</w:t>
            </w:r>
          </w:p>
        </w:tc>
        <w:tc>
          <w:tcPr>
            <w:tcW w:w="2719" w:type="dxa"/>
            <w:vAlign w:val="center"/>
          </w:tcPr>
          <w:p w14:paraId="1E475C9A">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426B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44371AE1">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6</w:t>
            </w:r>
          </w:p>
        </w:tc>
        <w:tc>
          <w:tcPr>
            <w:tcW w:w="7821" w:type="dxa"/>
            <w:shd w:val="clear" w:color="auto" w:fill="auto"/>
            <w:vAlign w:val="center"/>
          </w:tcPr>
          <w:p w14:paraId="53CCB1B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新质生产力视角下家具设计课程“三跨三智”教学模式改革与实践</w:t>
            </w:r>
          </w:p>
        </w:tc>
        <w:tc>
          <w:tcPr>
            <w:tcW w:w="2170" w:type="dxa"/>
            <w:shd w:val="clear" w:color="auto" w:fill="auto"/>
            <w:vAlign w:val="center"/>
          </w:tcPr>
          <w:p w14:paraId="1CD70D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郭蕙静</w:t>
            </w:r>
          </w:p>
        </w:tc>
        <w:tc>
          <w:tcPr>
            <w:tcW w:w="2719" w:type="dxa"/>
            <w:vAlign w:val="center"/>
          </w:tcPr>
          <w:p w14:paraId="393700D9">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292B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724FB361">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7</w:t>
            </w:r>
          </w:p>
        </w:tc>
        <w:tc>
          <w:tcPr>
            <w:tcW w:w="7821" w:type="dxa"/>
            <w:shd w:val="clear" w:color="auto" w:fill="auto"/>
            <w:vAlign w:val="center"/>
          </w:tcPr>
          <w:p w14:paraId="6C9ABF5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环境设施课程群“一主线 二课堂 三渗透”教学体系构建与实践</w:t>
            </w:r>
          </w:p>
        </w:tc>
        <w:tc>
          <w:tcPr>
            <w:tcW w:w="2170" w:type="dxa"/>
            <w:shd w:val="clear" w:color="auto" w:fill="auto"/>
            <w:vAlign w:val="center"/>
          </w:tcPr>
          <w:p w14:paraId="503E4E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吴晓媚</w:t>
            </w:r>
          </w:p>
        </w:tc>
        <w:tc>
          <w:tcPr>
            <w:tcW w:w="2719" w:type="dxa"/>
            <w:vAlign w:val="center"/>
          </w:tcPr>
          <w:p w14:paraId="4999CB01">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6402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5312AF98">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8</w:t>
            </w:r>
          </w:p>
        </w:tc>
        <w:tc>
          <w:tcPr>
            <w:tcW w:w="7821" w:type="dxa"/>
            <w:shd w:val="clear" w:color="auto" w:fill="auto"/>
            <w:vAlign w:val="center"/>
          </w:tcPr>
          <w:p w14:paraId="3F40762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多维融合、知行贯通：艺术类高校建筑史课程OMO教学体系重构与实践</w:t>
            </w:r>
          </w:p>
        </w:tc>
        <w:tc>
          <w:tcPr>
            <w:tcW w:w="2170" w:type="dxa"/>
            <w:shd w:val="clear" w:color="auto" w:fill="auto"/>
            <w:vAlign w:val="center"/>
          </w:tcPr>
          <w:p w14:paraId="1B800A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王晓雨</w:t>
            </w:r>
          </w:p>
        </w:tc>
        <w:tc>
          <w:tcPr>
            <w:tcW w:w="2719" w:type="dxa"/>
            <w:vAlign w:val="center"/>
          </w:tcPr>
          <w:p w14:paraId="3DA9A57D">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074D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5FC5F2C9">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9</w:t>
            </w:r>
          </w:p>
        </w:tc>
        <w:tc>
          <w:tcPr>
            <w:tcW w:w="7821" w:type="dxa"/>
            <w:shd w:val="clear" w:color="auto" w:fill="auto"/>
            <w:vAlign w:val="center"/>
          </w:tcPr>
          <w:p w14:paraId="1CED771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 xml:space="preserve">数智赋能、跨界融合：“四阶三链”“大视听”实践育人体系探索与实践 </w:t>
            </w:r>
          </w:p>
        </w:tc>
        <w:tc>
          <w:tcPr>
            <w:tcW w:w="2170" w:type="dxa"/>
            <w:shd w:val="clear" w:color="auto" w:fill="auto"/>
            <w:vAlign w:val="center"/>
          </w:tcPr>
          <w:p w14:paraId="5B0BBA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龙盈迎</w:t>
            </w:r>
          </w:p>
        </w:tc>
        <w:tc>
          <w:tcPr>
            <w:tcW w:w="2719" w:type="dxa"/>
            <w:vAlign w:val="center"/>
          </w:tcPr>
          <w:p w14:paraId="749B5D7C">
            <w:pPr>
              <w:jc w:val="center"/>
              <w:rPr>
                <w:rFonts w:ascii="宋体" w:hAnsi="宋体" w:eastAsia="宋体" w:cs="宋体"/>
                <w:sz w:val="24"/>
                <w:szCs w:val="24"/>
              </w:rPr>
            </w:pPr>
            <w:r>
              <w:rPr>
                <w:rFonts w:hint="eastAsia" w:ascii="宋体" w:hAnsi="宋体" w:eastAsia="宋体" w:cs="宋体"/>
                <w:sz w:val="24"/>
                <w:szCs w:val="24"/>
              </w:rPr>
              <w:t>动画与传媒学院</w:t>
            </w:r>
          </w:p>
        </w:tc>
      </w:tr>
      <w:tr w14:paraId="6A90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1005A9E8">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10</w:t>
            </w:r>
          </w:p>
        </w:tc>
        <w:tc>
          <w:tcPr>
            <w:tcW w:w="7821" w:type="dxa"/>
            <w:shd w:val="clear" w:color="auto" w:fill="auto"/>
            <w:vAlign w:val="center"/>
          </w:tcPr>
          <w:p w14:paraId="78CF753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AI驱动、个性培养，动画专业“动态能力矩阵”教学体系改革与实践 </w:t>
            </w:r>
          </w:p>
        </w:tc>
        <w:tc>
          <w:tcPr>
            <w:tcW w:w="2170" w:type="dxa"/>
            <w:shd w:val="clear" w:color="auto" w:fill="auto"/>
            <w:vAlign w:val="center"/>
          </w:tcPr>
          <w:p w14:paraId="5E58AB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李宗毅</w:t>
            </w:r>
          </w:p>
        </w:tc>
        <w:tc>
          <w:tcPr>
            <w:tcW w:w="2719" w:type="dxa"/>
            <w:vAlign w:val="center"/>
          </w:tcPr>
          <w:p w14:paraId="36A29A82">
            <w:pPr>
              <w:jc w:val="center"/>
              <w:rPr>
                <w:rFonts w:ascii="宋体" w:hAnsi="宋体" w:eastAsia="宋体" w:cs="宋体"/>
                <w:sz w:val="24"/>
                <w:szCs w:val="24"/>
              </w:rPr>
            </w:pPr>
            <w:r>
              <w:rPr>
                <w:rFonts w:hint="eastAsia" w:ascii="宋体" w:hAnsi="宋体" w:eastAsia="宋体" w:cs="宋体"/>
                <w:sz w:val="24"/>
                <w:szCs w:val="24"/>
              </w:rPr>
              <w:t>动画与传媒学院</w:t>
            </w:r>
          </w:p>
        </w:tc>
      </w:tr>
      <w:tr w14:paraId="6357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39FABA63">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11</w:t>
            </w:r>
          </w:p>
        </w:tc>
        <w:tc>
          <w:tcPr>
            <w:tcW w:w="7821" w:type="dxa"/>
            <w:shd w:val="clear" w:color="auto" w:fill="auto"/>
            <w:vAlign w:val="center"/>
          </w:tcPr>
          <w:p w14:paraId="1CB95FF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“三阶双轨”在地化《电视播音与主持》核心课程的教学改革与实践</w:t>
            </w:r>
          </w:p>
        </w:tc>
        <w:tc>
          <w:tcPr>
            <w:tcW w:w="2170" w:type="dxa"/>
            <w:shd w:val="clear" w:color="auto" w:fill="auto"/>
            <w:vAlign w:val="center"/>
          </w:tcPr>
          <w:p w14:paraId="09B1D1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张丽君</w:t>
            </w:r>
          </w:p>
        </w:tc>
        <w:tc>
          <w:tcPr>
            <w:tcW w:w="2719" w:type="dxa"/>
            <w:vAlign w:val="center"/>
          </w:tcPr>
          <w:p w14:paraId="512998C8">
            <w:pPr>
              <w:jc w:val="center"/>
              <w:rPr>
                <w:rFonts w:ascii="宋体" w:hAnsi="宋体" w:eastAsia="宋体" w:cs="宋体"/>
                <w:sz w:val="24"/>
                <w:szCs w:val="24"/>
              </w:rPr>
            </w:pPr>
            <w:r>
              <w:rPr>
                <w:rFonts w:hint="eastAsia" w:ascii="宋体" w:hAnsi="宋体" w:eastAsia="宋体" w:cs="宋体"/>
                <w:sz w:val="24"/>
                <w:szCs w:val="24"/>
              </w:rPr>
              <w:t>动画与传媒学院</w:t>
            </w:r>
          </w:p>
        </w:tc>
      </w:tr>
      <w:tr w14:paraId="2463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62E7A4FB">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12</w:t>
            </w:r>
          </w:p>
        </w:tc>
        <w:tc>
          <w:tcPr>
            <w:tcW w:w="7821" w:type="dxa"/>
            <w:shd w:val="clear" w:color="auto" w:fill="auto"/>
            <w:vAlign w:val="center"/>
          </w:tcPr>
          <w:p w14:paraId="283D664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AIGC技术融入数字媒体艺术专业《图形创意》课程教学改革研究</w:t>
            </w:r>
          </w:p>
        </w:tc>
        <w:tc>
          <w:tcPr>
            <w:tcW w:w="2170" w:type="dxa"/>
            <w:shd w:val="clear" w:color="auto" w:fill="auto"/>
            <w:vAlign w:val="center"/>
          </w:tcPr>
          <w:p w14:paraId="7A7A2C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张海峰</w:t>
            </w:r>
          </w:p>
        </w:tc>
        <w:tc>
          <w:tcPr>
            <w:tcW w:w="2719" w:type="dxa"/>
            <w:vAlign w:val="center"/>
          </w:tcPr>
          <w:p w14:paraId="7D02874E">
            <w:pPr>
              <w:jc w:val="center"/>
              <w:rPr>
                <w:rFonts w:ascii="宋体" w:hAnsi="宋体" w:eastAsia="宋体" w:cs="宋体"/>
                <w:sz w:val="24"/>
                <w:szCs w:val="24"/>
              </w:rPr>
            </w:pPr>
            <w:r>
              <w:rPr>
                <w:rFonts w:hint="eastAsia" w:ascii="宋体" w:hAnsi="宋体" w:eastAsia="宋体" w:cs="宋体"/>
                <w:sz w:val="24"/>
                <w:szCs w:val="24"/>
              </w:rPr>
              <w:t>动画与传媒学院</w:t>
            </w:r>
          </w:p>
        </w:tc>
      </w:tr>
      <w:tr w14:paraId="7C69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0BAD9E58">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13</w:t>
            </w:r>
          </w:p>
        </w:tc>
        <w:tc>
          <w:tcPr>
            <w:tcW w:w="7821" w:type="dxa"/>
            <w:shd w:val="clear" w:color="auto" w:fill="auto"/>
            <w:vAlign w:val="center"/>
          </w:tcPr>
          <w:p w14:paraId="27DD225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思政引领、数智赋能：中国传统艺术融入动画专业基础课程的教学改革与实践</w:t>
            </w:r>
          </w:p>
        </w:tc>
        <w:tc>
          <w:tcPr>
            <w:tcW w:w="2170" w:type="dxa"/>
            <w:shd w:val="clear" w:color="auto" w:fill="auto"/>
            <w:vAlign w:val="center"/>
          </w:tcPr>
          <w:p w14:paraId="11384A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  昊</w:t>
            </w:r>
          </w:p>
        </w:tc>
        <w:tc>
          <w:tcPr>
            <w:tcW w:w="2719" w:type="dxa"/>
            <w:vAlign w:val="center"/>
          </w:tcPr>
          <w:p w14:paraId="1DF5CDB8">
            <w:pPr>
              <w:jc w:val="center"/>
              <w:rPr>
                <w:rFonts w:ascii="宋体" w:hAnsi="宋体" w:eastAsia="宋体" w:cs="宋体"/>
                <w:sz w:val="24"/>
                <w:szCs w:val="24"/>
              </w:rPr>
            </w:pPr>
            <w:r>
              <w:rPr>
                <w:rFonts w:hint="eastAsia" w:ascii="宋体" w:hAnsi="宋体" w:eastAsia="宋体" w:cs="宋体"/>
                <w:sz w:val="24"/>
                <w:szCs w:val="24"/>
              </w:rPr>
              <w:t>动画与传媒学院</w:t>
            </w:r>
          </w:p>
        </w:tc>
      </w:tr>
      <w:tr w14:paraId="24E9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0F6CC543">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14</w:t>
            </w:r>
          </w:p>
        </w:tc>
        <w:tc>
          <w:tcPr>
            <w:tcW w:w="7821" w:type="dxa"/>
            <w:shd w:val="clear" w:color="auto" w:fill="auto"/>
            <w:vAlign w:val="center"/>
          </w:tcPr>
          <w:p w14:paraId="4101E35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大语言模型辅助下数字摄像技术课程创新能力培养的研究与实践</w:t>
            </w:r>
          </w:p>
        </w:tc>
        <w:tc>
          <w:tcPr>
            <w:tcW w:w="2170" w:type="dxa"/>
            <w:shd w:val="clear" w:color="auto" w:fill="auto"/>
            <w:vAlign w:val="center"/>
          </w:tcPr>
          <w:p w14:paraId="01198A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张业磊</w:t>
            </w:r>
          </w:p>
        </w:tc>
        <w:tc>
          <w:tcPr>
            <w:tcW w:w="2719" w:type="dxa"/>
            <w:vAlign w:val="center"/>
          </w:tcPr>
          <w:p w14:paraId="173DBAD4">
            <w:pPr>
              <w:jc w:val="center"/>
              <w:rPr>
                <w:rFonts w:ascii="宋体" w:hAnsi="宋体" w:eastAsia="宋体" w:cs="宋体"/>
                <w:sz w:val="24"/>
                <w:szCs w:val="24"/>
              </w:rPr>
            </w:pPr>
            <w:r>
              <w:rPr>
                <w:rFonts w:hint="eastAsia" w:ascii="宋体" w:hAnsi="宋体" w:eastAsia="宋体" w:cs="宋体"/>
                <w:sz w:val="24"/>
                <w:szCs w:val="24"/>
              </w:rPr>
              <w:t>动画与传媒学院</w:t>
            </w:r>
          </w:p>
        </w:tc>
      </w:tr>
      <w:tr w14:paraId="1ED4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105C6FB4">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15</w:t>
            </w:r>
          </w:p>
        </w:tc>
        <w:tc>
          <w:tcPr>
            <w:tcW w:w="7821" w:type="dxa"/>
            <w:shd w:val="clear" w:color="auto" w:fill="auto"/>
            <w:vAlign w:val="center"/>
          </w:tcPr>
          <w:p w14:paraId="6FD29DF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“船承记忆”：高校雕塑课程中疍家棚文化符号转化的教学改革实践研究</w:t>
            </w:r>
          </w:p>
        </w:tc>
        <w:tc>
          <w:tcPr>
            <w:tcW w:w="2170" w:type="dxa"/>
            <w:shd w:val="clear" w:color="auto" w:fill="auto"/>
            <w:vAlign w:val="center"/>
          </w:tcPr>
          <w:p w14:paraId="424702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张泰莹</w:t>
            </w:r>
          </w:p>
        </w:tc>
        <w:tc>
          <w:tcPr>
            <w:tcW w:w="2719" w:type="dxa"/>
            <w:vAlign w:val="center"/>
          </w:tcPr>
          <w:p w14:paraId="11631EDC">
            <w:pPr>
              <w:jc w:val="center"/>
              <w:rPr>
                <w:rFonts w:ascii="宋体" w:hAnsi="宋体" w:eastAsia="宋体" w:cs="宋体"/>
                <w:sz w:val="24"/>
                <w:szCs w:val="24"/>
              </w:rPr>
            </w:pPr>
            <w:r>
              <w:rPr>
                <w:rFonts w:hint="eastAsia" w:ascii="宋体" w:hAnsi="宋体" w:eastAsia="宋体" w:cs="宋体"/>
                <w:sz w:val="24"/>
                <w:szCs w:val="24"/>
              </w:rPr>
              <w:t>美术学院</w:t>
            </w:r>
          </w:p>
        </w:tc>
      </w:tr>
      <w:tr w14:paraId="272FF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5621CCBD">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16</w:t>
            </w:r>
          </w:p>
        </w:tc>
        <w:tc>
          <w:tcPr>
            <w:tcW w:w="7821" w:type="dxa"/>
            <w:shd w:val="clear" w:color="auto" w:fill="auto"/>
            <w:vAlign w:val="center"/>
          </w:tcPr>
          <w:p w14:paraId="61C01B3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人工智能背景下地域文化赋能高校中国画教学创新能力培养实践探索</w:t>
            </w:r>
          </w:p>
        </w:tc>
        <w:tc>
          <w:tcPr>
            <w:tcW w:w="2170" w:type="dxa"/>
            <w:shd w:val="clear" w:color="auto" w:fill="auto"/>
            <w:vAlign w:val="center"/>
          </w:tcPr>
          <w:p w14:paraId="3E3C8D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熊晓翠</w:t>
            </w:r>
          </w:p>
        </w:tc>
        <w:tc>
          <w:tcPr>
            <w:tcW w:w="2719" w:type="dxa"/>
            <w:vAlign w:val="center"/>
          </w:tcPr>
          <w:p w14:paraId="59961546">
            <w:pPr>
              <w:jc w:val="center"/>
              <w:rPr>
                <w:rFonts w:ascii="宋体" w:hAnsi="宋体" w:eastAsia="宋体" w:cs="宋体"/>
                <w:sz w:val="24"/>
                <w:szCs w:val="24"/>
              </w:rPr>
            </w:pPr>
            <w:r>
              <w:rPr>
                <w:rFonts w:hint="eastAsia" w:ascii="宋体" w:hAnsi="宋体" w:eastAsia="宋体" w:cs="宋体"/>
                <w:sz w:val="24"/>
                <w:szCs w:val="24"/>
              </w:rPr>
              <w:t>美术学院</w:t>
            </w:r>
          </w:p>
        </w:tc>
      </w:tr>
      <w:tr w14:paraId="0686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21BDD9AB">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17</w:t>
            </w:r>
          </w:p>
        </w:tc>
        <w:tc>
          <w:tcPr>
            <w:tcW w:w="7821" w:type="dxa"/>
            <w:shd w:val="clear" w:color="auto" w:fill="auto"/>
            <w:vAlign w:val="center"/>
          </w:tcPr>
          <w:p w14:paraId="6AE2306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产业嵌入、数智赋能、心理驱动，《商业人像摄影》三位一体教学改革与实践</w:t>
            </w:r>
          </w:p>
        </w:tc>
        <w:tc>
          <w:tcPr>
            <w:tcW w:w="2170" w:type="dxa"/>
            <w:shd w:val="clear" w:color="auto" w:fill="auto"/>
            <w:vAlign w:val="center"/>
          </w:tcPr>
          <w:p w14:paraId="5BEFAD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孔令石</w:t>
            </w:r>
          </w:p>
        </w:tc>
        <w:tc>
          <w:tcPr>
            <w:tcW w:w="2719" w:type="dxa"/>
            <w:vAlign w:val="center"/>
          </w:tcPr>
          <w:p w14:paraId="294C9806">
            <w:pPr>
              <w:jc w:val="center"/>
              <w:rPr>
                <w:rFonts w:ascii="宋体" w:hAnsi="宋体" w:eastAsia="宋体" w:cs="宋体"/>
                <w:sz w:val="24"/>
                <w:szCs w:val="24"/>
              </w:rPr>
            </w:pPr>
            <w:r>
              <w:rPr>
                <w:rFonts w:hint="eastAsia" w:ascii="宋体" w:hAnsi="宋体" w:eastAsia="宋体" w:cs="宋体"/>
                <w:sz w:val="24"/>
                <w:szCs w:val="24"/>
              </w:rPr>
              <w:t>美术学院</w:t>
            </w:r>
          </w:p>
        </w:tc>
      </w:tr>
      <w:tr w14:paraId="56E0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7474561C">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18</w:t>
            </w:r>
          </w:p>
        </w:tc>
        <w:tc>
          <w:tcPr>
            <w:tcW w:w="7821" w:type="dxa"/>
            <w:shd w:val="clear" w:color="auto" w:fill="auto"/>
            <w:vAlign w:val="center"/>
          </w:tcPr>
          <w:p w14:paraId="7312728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STEAM教育理念下数字绘画跨学科教学改革策略与实践研究</w:t>
            </w:r>
          </w:p>
        </w:tc>
        <w:tc>
          <w:tcPr>
            <w:tcW w:w="2170" w:type="dxa"/>
            <w:shd w:val="clear" w:color="auto" w:fill="auto"/>
            <w:vAlign w:val="center"/>
          </w:tcPr>
          <w:p w14:paraId="752806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黄凤兰</w:t>
            </w:r>
          </w:p>
        </w:tc>
        <w:tc>
          <w:tcPr>
            <w:tcW w:w="2719" w:type="dxa"/>
            <w:vAlign w:val="center"/>
          </w:tcPr>
          <w:p w14:paraId="09CC6A82">
            <w:pPr>
              <w:jc w:val="center"/>
              <w:rPr>
                <w:rFonts w:ascii="宋体" w:hAnsi="宋体" w:eastAsia="宋体" w:cs="宋体"/>
                <w:sz w:val="24"/>
                <w:szCs w:val="24"/>
              </w:rPr>
            </w:pPr>
            <w:r>
              <w:rPr>
                <w:rFonts w:hint="eastAsia" w:ascii="宋体" w:hAnsi="宋体" w:eastAsia="宋体" w:cs="宋体"/>
                <w:sz w:val="24"/>
                <w:szCs w:val="24"/>
              </w:rPr>
              <w:t>美术学院</w:t>
            </w:r>
          </w:p>
        </w:tc>
      </w:tr>
      <w:tr w14:paraId="5CE3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2364D7D1">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19</w:t>
            </w:r>
          </w:p>
        </w:tc>
        <w:tc>
          <w:tcPr>
            <w:tcW w:w="7821" w:type="dxa"/>
            <w:shd w:val="clear" w:color="auto" w:fill="auto"/>
            <w:vAlign w:val="center"/>
          </w:tcPr>
          <w:p w14:paraId="5E39226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数智笔墨：AI驱动下高校书法学专业教学改革创新与实践探索</w:t>
            </w:r>
          </w:p>
        </w:tc>
        <w:tc>
          <w:tcPr>
            <w:tcW w:w="2170" w:type="dxa"/>
            <w:shd w:val="clear" w:color="auto" w:fill="auto"/>
            <w:vAlign w:val="center"/>
          </w:tcPr>
          <w:p w14:paraId="2434BF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苏乃从</w:t>
            </w:r>
          </w:p>
        </w:tc>
        <w:tc>
          <w:tcPr>
            <w:tcW w:w="2719" w:type="dxa"/>
            <w:shd w:val="clear" w:color="auto" w:fill="auto"/>
            <w:vAlign w:val="center"/>
          </w:tcPr>
          <w:p w14:paraId="3B4CC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书法学院</w:t>
            </w:r>
          </w:p>
        </w:tc>
      </w:tr>
      <w:tr w14:paraId="3B68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5F351EBC">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20</w:t>
            </w:r>
          </w:p>
        </w:tc>
        <w:tc>
          <w:tcPr>
            <w:tcW w:w="7821" w:type="dxa"/>
            <w:shd w:val="clear" w:color="auto" w:fill="auto"/>
            <w:vAlign w:val="center"/>
          </w:tcPr>
          <w:p w14:paraId="7EDF729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人工智能视阈下应用型本科学前教育专业BOPPPS教学模式的改革实践研究</w:t>
            </w:r>
          </w:p>
        </w:tc>
        <w:tc>
          <w:tcPr>
            <w:tcW w:w="2170" w:type="dxa"/>
            <w:shd w:val="clear" w:color="auto" w:fill="auto"/>
            <w:vAlign w:val="center"/>
          </w:tcPr>
          <w:p w14:paraId="1B6D2C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黄海林</w:t>
            </w:r>
          </w:p>
        </w:tc>
        <w:tc>
          <w:tcPr>
            <w:tcW w:w="2719" w:type="dxa"/>
            <w:shd w:val="clear" w:color="auto" w:fill="auto"/>
            <w:vAlign w:val="center"/>
          </w:tcPr>
          <w:p w14:paraId="6502B1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教育学院</w:t>
            </w:r>
          </w:p>
        </w:tc>
      </w:tr>
      <w:tr w14:paraId="6C78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02EC84DF">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21</w:t>
            </w:r>
          </w:p>
        </w:tc>
        <w:tc>
          <w:tcPr>
            <w:tcW w:w="7821" w:type="dxa"/>
            <w:shd w:val="clear" w:color="auto" w:fill="auto"/>
            <w:vAlign w:val="center"/>
          </w:tcPr>
          <w:p w14:paraId="3DE281B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基于广西海上丝绸之路文化的汉语国际教育专业特色课程资源开放与研究</w:t>
            </w:r>
          </w:p>
        </w:tc>
        <w:tc>
          <w:tcPr>
            <w:tcW w:w="2170" w:type="dxa"/>
            <w:shd w:val="clear" w:color="auto" w:fill="auto"/>
            <w:vAlign w:val="center"/>
          </w:tcPr>
          <w:p w14:paraId="32F23B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郭建威</w:t>
            </w:r>
          </w:p>
        </w:tc>
        <w:tc>
          <w:tcPr>
            <w:tcW w:w="2719" w:type="dxa"/>
            <w:shd w:val="clear" w:color="auto" w:fill="auto"/>
            <w:vAlign w:val="center"/>
          </w:tcPr>
          <w:p w14:paraId="1C0720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文学院</w:t>
            </w:r>
          </w:p>
        </w:tc>
      </w:tr>
      <w:tr w14:paraId="653F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204CDA16">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bCs/>
                <w:sz w:val="24"/>
              </w:rPr>
              <w:t>22</w:t>
            </w:r>
          </w:p>
        </w:tc>
        <w:tc>
          <w:tcPr>
            <w:tcW w:w="7821" w:type="dxa"/>
            <w:shd w:val="clear" w:color="auto" w:fill="auto"/>
            <w:vAlign w:val="center"/>
          </w:tcPr>
          <w:p w14:paraId="48EFFD6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“成果导向，数智赋能”服装与摄影跨专业复合型人才培养路径研究</w:t>
            </w:r>
          </w:p>
        </w:tc>
        <w:tc>
          <w:tcPr>
            <w:tcW w:w="2170" w:type="dxa"/>
            <w:shd w:val="clear" w:color="auto" w:fill="auto"/>
            <w:vAlign w:val="center"/>
          </w:tcPr>
          <w:p w14:paraId="2A9B1E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陈  琛</w:t>
            </w:r>
          </w:p>
        </w:tc>
        <w:tc>
          <w:tcPr>
            <w:tcW w:w="2719" w:type="dxa"/>
            <w:shd w:val="clear" w:color="auto" w:fill="auto"/>
            <w:vAlign w:val="center"/>
          </w:tcPr>
          <w:p w14:paraId="4996FD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highlight w:val="none"/>
                <w:lang w:val="en-US" w:eastAsia="zh-CN"/>
              </w:rPr>
              <w:t>服装学院</w:t>
            </w:r>
          </w:p>
        </w:tc>
      </w:tr>
      <w:tr w14:paraId="2C88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13292E4C">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23</w:t>
            </w:r>
          </w:p>
        </w:tc>
        <w:tc>
          <w:tcPr>
            <w:tcW w:w="7821" w:type="dxa"/>
            <w:shd w:val="clear" w:color="auto" w:fill="auto"/>
            <w:vAlign w:val="center"/>
          </w:tcPr>
          <w:p w14:paraId="262D851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课程思政融入服装设计专业智能化教学的实践研究—以传统旗袍工艺与制作课程教学为例 </w:t>
            </w:r>
          </w:p>
        </w:tc>
        <w:tc>
          <w:tcPr>
            <w:tcW w:w="2170" w:type="dxa"/>
            <w:shd w:val="clear" w:color="auto" w:fill="auto"/>
            <w:vAlign w:val="center"/>
          </w:tcPr>
          <w:p w14:paraId="3C9E67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张春艳</w:t>
            </w:r>
          </w:p>
        </w:tc>
        <w:tc>
          <w:tcPr>
            <w:tcW w:w="2719" w:type="dxa"/>
            <w:shd w:val="clear" w:color="auto" w:fill="auto"/>
            <w:vAlign w:val="center"/>
          </w:tcPr>
          <w:p w14:paraId="3E44D6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服装学院</w:t>
            </w:r>
          </w:p>
        </w:tc>
      </w:tr>
      <w:tr w14:paraId="5267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7AF2E98A">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24</w:t>
            </w:r>
          </w:p>
        </w:tc>
        <w:tc>
          <w:tcPr>
            <w:tcW w:w="7821" w:type="dxa"/>
            <w:shd w:val="clear" w:color="auto" w:fill="auto"/>
            <w:vAlign w:val="center"/>
          </w:tcPr>
          <w:p w14:paraId="720189C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就业导向下舞蹈专业“商业+视觉”跨学科教学改革研究——基于民族文化融合的广西民办高校实践</w:t>
            </w:r>
          </w:p>
        </w:tc>
        <w:tc>
          <w:tcPr>
            <w:tcW w:w="2170" w:type="dxa"/>
            <w:shd w:val="clear" w:color="auto" w:fill="auto"/>
            <w:vAlign w:val="center"/>
          </w:tcPr>
          <w:p w14:paraId="1521C0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邓  欢</w:t>
            </w:r>
          </w:p>
        </w:tc>
        <w:tc>
          <w:tcPr>
            <w:tcW w:w="2719" w:type="dxa"/>
            <w:shd w:val="clear" w:color="auto" w:fill="auto"/>
            <w:vAlign w:val="center"/>
          </w:tcPr>
          <w:p w14:paraId="319E99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舞蹈学院</w:t>
            </w:r>
          </w:p>
        </w:tc>
      </w:tr>
      <w:tr w14:paraId="52DD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62219BBE">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25</w:t>
            </w:r>
          </w:p>
        </w:tc>
        <w:tc>
          <w:tcPr>
            <w:tcW w:w="7821" w:type="dxa"/>
            <w:shd w:val="clear" w:color="auto" w:fill="auto"/>
            <w:vAlign w:val="center"/>
          </w:tcPr>
          <w:p w14:paraId="54E2EAC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“文化传承，立德树人，两位一体”《中国古典舞身韵》课程实践研究</w:t>
            </w:r>
          </w:p>
        </w:tc>
        <w:tc>
          <w:tcPr>
            <w:tcW w:w="2170" w:type="dxa"/>
            <w:shd w:val="clear" w:color="auto" w:fill="auto"/>
            <w:vAlign w:val="center"/>
          </w:tcPr>
          <w:p w14:paraId="417A5D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信  辛</w:t>
            </w:r>
          </w:p>
        </w:tc>
        <w:tc>
          <w:tcPr>
            <w:tcW w:w="2719" w:type="dxa"/>
            <w:shd w:val="clear" w:color="auto" w:fill="auto"/>
            <w:vAlign w:val="center"/>
          </w:tcPr>
          <w:p w14:paraId="3AB079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舞蹈学院</w:t>
            </w:r>
          </w:p>
        </w:tc>
      </w:tr>
      <w:tr w14:paraId="31F2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6699F3D7">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26</w:t>
            </w:r>
          </w:p>
        </w:tc>
        <w:tc>
          <w:tcPr>
            <w:tcW w:w="7821" w:type="dxa"/>
            <w:shd w:val="clear" w:color="auto" w:fill="auto"/>
            <w:vAlign w:val="center"/>
          </w:tcPr>
          <w:p w14:paraId="2C81842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艺术与哲学交叉融合理念下民办艺术院校哲学专业艺术类课程群建设与实践</w:t>
            </w:r>
          </w:p>
        </w:tc>
        <w:tc>
          <w:tcPr>
            <w:tcW w:w="2170" w:type="dxa"/>
            <w:shd w:val="clear" w:color="auto" w:fill="auto"/>
            <w:vAlign w:val="center"/>
          </w:tcPr>
          <w:p w14:paraId="5831EE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蒋辉平</w:t>
            </w:r>
          </w:p>
        </w:tc>
        <w:tc>
          <w:tcPr>
            <w:tcW w:w="2719" w:type="dxa"/>
            <w:shd w:val="clear" w:color="auto" w:fill="auto"/>
            <w:vAlign w:val="center"/>
          </w:tcPr>
          <w:p w14:paraId="68E8ED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哲学学院</w:t>
            </w:r>
          </w:p>
        </w:tc>
      </w:tr>
      <w:tr w14:paraId="776F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5109926E">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27</w:t>
            </w:r>
          </w:p>
        </w:tc>
        <w:tc>
          <w:tcPr>
            <w:tcW w:w="7821" w:type="dxa"/>
            <w:shd w:val="clear" w:color="auto" w:fill="auto"/>
            <w:vAlign w:val="center"/>
          </w:tcPr>
          <w:p w14:paraId="3E6BB0F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民办高校“三层递进、三维融通、三段比较”的大美育体系构建与实践</w:t>
            </w:r>
          </w:p>
        </w:tc>
        <w:tc>
          <w:tcPr>
            <w:tcW w:w="2170" w:type="dxa"/>
            <w:shd w:val="clear" w:color="auto" w:fill="auto"/>
            <w:vAlign w:val="center"/>
          </w:tcPr>
          <w:p w14:paraId="5C46D3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刘静静</w:t>
            </w:r>
          </w:p>
        </w:tc>
        <w:tc>
          <w:tcPr>
            <w:tcW w:w="2719" w:type="dxa"/>
            <w:shd w:val="clear" w:color="auto" w:fill="auto"/>
            <w:vAlign w:val="center"/>
          </w:tcPr>
          <w:p w14:paraId="0F43AA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Times New Roman"/>
                <w:bCs/>
                <w:sz w:val="24"/>
                <w:highlight w:val="none"/>
                <w:lang w:val="en-US" w:eastAsia="zh-CN"/>
              </w:rPr>
              <w:t>通识教育学院（体育部）</w:t>
            </w:r>
          </w:p>
        </w:tc>
      </w:tr>
      <w:tr w14:paraId="12A3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2BAC4274">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28</w:t>
            </w:r>
          </w:p>
        </w:tc>
        <w:tc>
          <w:tcPr>
            <w:tcW w:w="7821" w:type="dxa"/>
            <w:shd w:val="clear" w:color="auto" w:fill="auto"/>
            <w:vAlign w:val="center"/>
          </w:tcPr>
          <w:p w14:paraId="2662538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“多元协同、素养提升”艺术类院校智慧型体育课程体系构建与实践</w:t>
            </w:r>
          </w:p>
        </w:tc>
        <w:tc>
          <w:tcPr>
            <w:tcW w:w="2170" w:type="dxa"/>
            <w:shd w:val="clear" w:color="auto" w:fill="auto"/>
            <w:vAlign w:val="center"/>
          </w:tcPr>
          <w:p w14:paraId="32AD22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张文玉</w:t>
            </w:r>
          </w:p>
        </w:tc>
        <w:tc>
          <w:tcPr>
            <w:tcW w:w="2719" w:type="dxa"/>
            <w:shd w:val="clear" w:color="auto" w:fill="auto"/>
            <w:vAlign w:val="center"/>
          </w:tcPr>
          <w:p w14:paraId="6E52EA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Times New Roman"/>
                <w:bCs/>
                <w:sz w:val="24"/>
                <w:lang w:val="en-US" w:eastAsia="zh-CN"/>
              </w:rPr>
              <w:t>通识教育学院（体育部）</w:t>
            </w:r>
          </w:p>
        </w:tc>
      </w:tr>
      <w:tr w14:paraId="0916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6E0BA304">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29</w:t>
            </w:r>
          </w:p>
        </w:tc>
        <w:tc>
          <w:tcPr>
            <w:tcW w:w="7821" w:type="dxa"/>
            <w:shd w:val="clear" w:color="auto" w:fill="auto"/>
            <w:vAlign w:val="center"/>
          </w:tcPr>
          <w:p w14:paraId="0D87768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“新质生产力”驱动下西部地区艺术设计类高校思政教育引导产学研协同发展的路径与对策</w:t>
            </w:r>
          </w:p>
        </w:tc>
        <w:tc>
          <w:tcPr>
            <w:tcW w:w="2170" w:type="dxa"/>
            <w:shd w:val="clear" w:color="auto" w:fill="auto"/>
            <w:vAlign w:val="center"/>
          </w:tcPr>
          <w:p w14:paraId="384BAC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何敏芝</w:t>
            </w:r>
          </w:p>
        </w:tc>
        <w:tc>
          <w:tcPr>
            <w:tcW w:w="2719" w:type="dxa"/>
            <w:shd w:val="clear" w:color="auto" w:fill="auto"/>
            <w:vAlign w:val="center"/>
          </w:tcPr>
          <w:p w14:paraId="2CE98B94">
            <w:pPr>
              <w:jc w:val="center"/>
              <w:rPr>
                <w:rFonts w:hint="eastAsia" w:ascii="宋体" w:hAnsi="宋体" w:eastAsia="宋体" w:cs="宋体"/>
                <w:kern w:val="2"/>
                <w:sz w:val="24"/>
                <w:szCs w:val="24"/>
                <w:lang w:val="en-US" w:eastAsia="zh-CN" w:bidi="ar-SA"/>
              </w:rPr>
            </w:pPr>
            <w:r>
              <w:rPr>
                <w:rFonts w:hint="eastAsia" w:ascii="宋体" w:hAnsi="宋体" w:eastAsia="宋体" w:cs="Times New Roman"/>
                <w:bCs/>
                <w:sz w:val="24"/>
                <w:lang w:val="en-US" w:eastAsia="zh-CN"/>
              </w:rPr>
              <w:t>马克思主义学院</w:t>
            </w:r>
          </w:p>
        </w:tc>
      </w:tr>
      <w:tr w14:paraId="285C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7AAE147A">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30</w:t>
            </w:r>
          </w:p>
        </w:tc>
        <w:tc>
          <w:tcPr>
            <w:tcW w:w="7821" w:type="dxa"/>
            <w:shd w:val="clear" w:color="auto" w:fill="auto"/>
            <w:vAlign w:val="center"/>
          </w:tcPr>
          <w:p w14:paraId="59C6665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艺术类高校创新创业教育与美育融合路径的实践与构建——以北海艺术设计学院为例</w:t>
            </w:r>
          </w:p>
        </w:tc>
        <w:tc>
          <w:tcPr>
            <w:tcW w:w="2170" w:type="dxa"/>
            <w:shd w:val="clear" w:color="auto" w:fill="auto"/>
            <w:vAlign w:val="center"/>
          </w:tcPr>
          <w:p w14:paraId="100479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王  涵</w:t>
            </w:r>
          </w:p>
        </w:tc>
        <w:tc>
          <w:tcPr>
            <w:tcW w:w="2719" w:type="dxa"/>
            <w:shd w:val="clear" w:color="auto" w:fill="auto"/>
            <w:vAlign w:val="center"/>
          </w:tcPr>
          <w:p w14:paraId="54758127">
            <w:pPr>
              <w:jc w:val="center"/>
              <w:rPr>
                <w:rFonts w:ascii="宋体" w:hAnsi="宋体" w:eastAsia="宋体" w:cs="宋体"/>
                <w:kern w:val="2"/>
                <w:sz w:val="24"/>
                <w:szCs w:val="24"/>
                <w:lang w:val="en-US" w:eastAsia="zh-CN" w:bidi="ar-SA"/>
              </w:rPr>
            </w:pPr>
            <w:r>
              <w:rPr>
                <w:rFonts w:ascii="宋体" w:hAnsi="宋体" w:eastAsia="宋体" w:cs="宋体"/>
                <w:sz w:val="24"/>
                <w:szCs w:val="24"/>
              </w:rPr>
              <w:t>创新创业学院</w:t>
            </w:r>
          </w:p>
        </w:tc>
      </w:tr>
      <w:tr w14:paraId="68D4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15817F97">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31</w:t>
            </w:r>
          </w:p>
        </w:tc>
        <w:tc>
          <w:tcPr>
            <w:tcW w:w="7821" w:type="dxa"/>
            <w:shd w:val="clear" w:color="auto" w:fill="auto"/>
            <w:vAlign w:val="center"/>
          </w:tcPr>
          <w:p w14:paraId="0C4B643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rPr>
              <w:t>“AI赋能·多维融合”——艺术类院校职业规划与就业指导教育改革</w:t>
            </w:r>
            <w:r>
              <w:rPr>
                <w:rFonts w:hint="eastAsia" w:ascii="宋体" w:hAnsi="宋体" w:eastAsia="宋体" w:cs="Times New Roman"/>
                <w:bCs/>
                <w:sz w:val="24"/>
                <w:lang w:val="en-US" w:eastAsia="zh-CN"/>
              </w:rPr>
              <w:t>与</w:t>
            </w:r>
            <w:r>
              <w:rPr>
                <w:rFonts w:hint="eastAsia" w:ascii="宋体" w:hAnsi="宋体" w:eastAsia="宋体" w:cs="Times New Roman"/>
                <w:bCs/>
                <w:sz w:val="24"/>
              </w:rPr>
              <w:t>实践</w:t>
            </w:r>
          </w:p>
        </w:tc>
        <w:tc>
          <w:tcPr>
            <w:tcW w:w="2170" w:type="dxa"/>
            <w:shd w:val="clear" w:color="auto" w:fill="auto"/>
            <w:vAlign w:val="center"/>
          </w:tcPr>
          <w:p w14:paraId="3DA6D7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rPr>
              <w:t>禤丽敏</w:t>
            </w:r>
          </w:p>
        </w:tc>
        <w:tc>
          <w:tcPr>
            <w:tcW w:w="2719" w:type="dxa"/>
            <w:shd w:val="clear" w:color="auto" w:fill="auto"/>
            <w:vAlign w:val="center"/>
          </w:tcPr>
          <w:p w14:paraId="3C0FB9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4"/>
                <w:lang w:val="en-US" w:eastAsia="zh-CN" w:bidi="ar-SA"/>
              </w:rPr>
            </w:pPr>
            <w:r>
              <w:rPr>
                <w:rFonts w:hint="eastAsia" w:ascii="宋体" w:hAnsi="宋体" w:eastAsia="宋体" w:cs="Times New Roman"/>
                <w:bCs/>
                <w:sz w:val="24"/>
                <w:lang w:val="en-US" w:eastAsia="zh-CN"/>
              </w:rPr>
              <w:t>教务处</w:t>
            </w:r>
          </w:p>
        </w:tc>
      </w:tr>
      <w:tr w14:paraId="20FE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0D3D8AD4">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32</w:t>
            </w:r>
          </w:p>
        </w:tc>
        <w:tc>
          <w:tcPr>
            <w:tcW w:w="7821" w:type="dxa"/>
            <w:shd w:val="clear" w:color="auto" w:fill="auto"/>
            <w:vAlign w:val="center"/>
          </w:tcPr>
          <w:p w14:paraId="2DE1FED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AI赋能大学生社会实践课程与就业能力融合创新模式研究</w:t>
            </w:r>
          </w:p>
        </w:tc>
        <w:tc>
          <w:tcPr>
            <w:tcW w:w="2170" w:type="dxa"/>
            <w:shd w:val="clear" w:color="auto" w:fill="auto"/>
            <w:vAlign w:val="center"/>
          </w:tcPr>
          <w:p w14:paraId="3C5D7F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唐良春</w:t>
            </w:r>
          </w:p>
        </w:tc>
        <w:tc>
          <w:tcPr>
            <w:tcW w:w="2719" w:type="dxa"/>
            <w:shd w:val="clear" w:color="auto" w:fill="auto"/>
            <w:vAlign w:val="center"/>
          </w:tcPr>
          <w:p w14:paraId="04E601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宋体"/>
                <w:kern w:val="2"/>
                <w:sz w:val="24"/>
                <w:szCs w:val="24"/>
                <w:lang w:val="en-US" w:eastAsia="zh-CN" w:bidi="ar-SA"/>
              </w:rPr>
            </w:pPr>
            <w:r>
              <w:rPr>
                <w:rFonts w:hint="eastAsia" w:ascii="宋体" w:hAnsi="宋体" w:eastAsia="宋体" w:cs="Times New Roman"/>
                <w:bCs/>
                <w:sz w:val="24"/>
                <w:lang w:val="en-US" w:eastAsia="zh-CN"/>
              </w:rPr>
              <w:t>校团委</w:t>
            </w:r>
          </w:p>
        </w:tc>
      </w:tr>
      <w:tr w14:paraId="55255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85" w:type="dxa"/>
            <w:shd w:val="clear" w:color="auto" w:fill="auto"/>
            <w:vAlign w:val="center"/>
          </w:tcPr>
          <w:p w14:paraId="3148BCD7">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bCs/>
                <w:sz w:val="24"/>
              </w:rPr>
              <w:t>33</w:t>
            </w:r>
          </w:p>
        </w:tc>
        <w:tc>
          <w:tcPr>
            <w:tcW w:w="7821" w:type="dxa"/>
            <w:shd w:val="clear" w:color="auto" w:fill="auto"/>
            <w:vAlign w:val="center"/>
          </w:tcPr>
          <w:p w14:paraId="27106C2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艺术类高校“数智赋能，交叉融通”设计人才培养模式研究与实践</w:t>
            </w:r>
          </w:p>
        </w:tc>
        <w:tc>
          <w:tcPr>
            <w:tcW w:w="2170" w:type="dxa"/>
            <w:shd w:val="clear" w:color="auto" w:fill="auto"/>
            <w:vAlign w:val="center"/>
          </w:tcPr>
          <w:p w14:paraId="57729E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rPr>
              <w:t>刘晓娜</w:t>
            </w:r>
          </w:p>
        </w:tc>
        <w:tc>
          <w:tcPr>
            <w:tcW w:w="2719" w:type="dxa"/>
            <w:shd w:val="clear" w:color="auto" w:fill="auto"/>
            <w:vAlign w:val="center"/>
          </w:tcPr>
          <w:p w14:paraId="2BABB0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宋体"/>
                <w:kern w:val="2"/>
                <w:sz w:val="24"/>
                <w:szCs w:val="24"/>
                <w:lang w:val="en-US" w:eastAsia="zh-CN" w:bidi="ar-SA"/>
              </w:rPr>
            </w:pPr>
            <w:r>
              <w:rPr>
                <w:rFonts w:hint="eastAsia" w:ascii="宋体" w:hAnsi="宋体" w:eastAsia="宋体" w:cs="Times New Roman"/>
                <w:bCs/>
                <w:sz w:val="24"/>
                <w:lang w:val="en-US" w:eastAsia="zh-CN"/>
              </w:rPr>
              <w:t>科研处</w:t>
            </w:r>
          </w:p>
        </w:tc>
      </w:tr>
    </w:tbl>
    <w:p w14:paraId="2D8E65F1"/>
    <w:p w14:paraId="339BB746">
      <w:bookmarkStart w:id="0" w:name="_GoBack"/>
      <w:bookmarkEnd w:id="0"/>
    </w:p>
    <w:sectPr>
      <w:footerReference r:id="rId3" w:type="default"/>
      <w:pgSz w:w="16838" w:h="11906" w:orient="landscape"/>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B3CA9">
    <w:pPr>
      <w:pStyle w:val="2"/>
      <w:ind w:right="360" w:firstLine="360"/>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38F53">
                          <w:pPr>
                            <w:pStyle w:val="2"/>
                            <w:adjustRightInd w:val="0"/>
                            <w:ind w:left="210" w:leftChars="100" w:right="210" w:rightChars="100"/>
                            <w:rPr>
                              <w:rStyle w:val="5"/>
                              <w:rFonts w:ascii="宋体" w:hAnsi="宋体"/>
                              <w:sz w:val="28"/>
                              <w:szCs w:val="28"/>
                            </w:rPr>
                          </w:pPr>
                          <w:r>
                            <w:rPr>
                              <w:rStyle w:val="5"/>
                              <w:rFonts w:ascii="宋体" w:hAnsi="宋体"/>
                            </w:rPr>
                            <w:fldChar w:fldCharType="begin"/>
                          </w:r>
                          <w:r>
                            <w:rPr>
                              <w:rStyle w:val="5"/>
                              <w:rFonts w:ascii="宋体" w:hAnsi="宋体"/>
                            </w:rPr>
                            <w:instrText xml:space="preserve"> PAGE  \* MERGEFORMAT </w:instrText>
                          </w:r>
                          <w:r>
                            <w:rPr>
                              <w:rStyle w:val="5"/>
                              <w:rFonts w:ascii="宋体" w:hAnsi="宋体"/>
                            </w:rPr>
                            <w:fldChar w:fldCharType="separate"/>
                          </w:r>
                          <w:r>
                            <w:rPr>
                              <w:rStyle w:val="5"/>
                              <w:rFonts w:ascii="宋体" w:hAnsi="宋体"/>
                            </w:rPr>
                            <w:t>3</w:t>
                          </w:r>
                          <w:r>
                            <w:rPr>
                              <w:rStyle w:val="5"/>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3B38F53">
                    <w:pPr>
                      <w:pStyle w:val="2"/>
                      <w:adjustRightInd w:val="0"/>
                      <w:ind w:left="210" w:leftChars="100" w:right="210" w:rightChars="100"/>
                      <w:rPr>
                        <w:rStyle w:val="5"/>
                        <w:rFonts w:ascii="宋体" w:hAnsi="宋体"/>
                        <w:sz w:val="28"/>
                        <w:szCs w:val="28"/>
                      </w:rPr>
                    </w:pPr>
                    <w:r>
                      <w:rPr>
                        <w:rStyle w:val="5"/>
                        <w:rFonts w:ascii="宋体" w:hAnsi="宋体"/>
                      </w:rPr>
                      <w:fldChar w:fldCharType="begin"/>
                    </w:r>
                    <w:r>
                      <w:rPr>
                        <w:rStyle w:val="5"/>
                        <w:rFonts w:ascii="宋体" w:hAnsi="宋体"/>
                      </w:rPr>
                      <w:instrText xml:space="preserve"> PAGE  \* MERGEFORMAT </w:instrText>
                    </w:r>
                    <w:r>
                      <w:rPr>
                        <w:rStyle w:val="5"/>
                        <w:rFonts w:ascii="宋体" w:hAnsi="宋体"/>
                      </w:rPr>
                      <w:fldChar w:fldCharType="separate"/>
                    </w:r>
                    <w:r>
                      <w:rPr>
                        <w:rStyle w:val="5"/>
                        <w:rFonts w:ascii="宋体" w:hAnsi="宋体"/>
                      </w:rPr>
                      <w:t>3</w:t>
                    </w:r>
                    <w:r>
                      <w:rPr>
                        <w:rStyle w:val="5"/>
                        <w:rFonts w:ascii="宋体" w:hAnsi="宋体"/>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0A5205"/>
    <w:rsid w:val="200A52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character" w:styleId="5">
    <w:name w:val="page numb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2025-03-27T09:00:00Z</dcterms:created>
  <dc:creator>Patuo</dc:creator>
  <cp:lastModifiedBy>Patuo</cp:lastModifiedBy>
  <dcterms:modified xsi:type="dcterms:W3CDTF">2025-03-27T09:00:43Z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38508841BE00416D935E271A8087E9EA_11</vt:lpwstr>
  </property>
  <property fmtid="{D5CDD505-2E9C-101B-9397-08002B2CF9AE}" pid="4" name="KSOTemplateDocerSaveRecord">
    <vt:lpwstr>eyJoZGlkIjoiMDY1ZmQ0NGY3NDM4ZTAxMjRiMTUyNmEzMWViYjc1YjkiLCJ1c2VySWQiOiIyOTgyMDI5MzUifQ==</vt:lpwstr>
  </property>
</Properties>
</file>