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1083"/>
      <w:bookmarkStart w:id="2" w:name="_Toc1786"/>
      <w:bookmarkStart w:id="3" w:name="_Toc18647"/>
      <w:bookmarkStart w:id="4" w:name="_Toc25110"/>
      <w:bookmarkStart w:id="5" w:name="_Toc22495"/>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74</w:t>
      </w:r>
      <w:r>
        <w:rPr>
          <w:rFonts w:hint="eastAsia" w:ascii="方正仿宋简体" w:eastAsia="方正仿宋简体"/>
          <w:color w:val="auto"/>
          <w:sz w:val="32"/>
          <w:szCs w:val="32"/>
        </w:rPr>
        <w:t>号</w:t>
      </w:r>
    </w:p>
    <w:p>
      <w:pPr>
        <w:keepNext w:val="0"/>
        <w:keepLines w:val="0"/>
        <w:pageBreakBefore w:val="0"/>
        <w:kinsoku/>
        <w:overflowPunct/>
        <w:topLinePunct w:val="0"/>
        <w:autoSpaceDE/>
        <w:autoSpaceDN/>
        <w:bidi w:val="0"/>
        <w:adjustRightInd w:val="0"/>
        <w:snapToGrid w:val="0"/>
        <w:spacing w:line="570" w:lineRule="exact"/>
        <w:textAlignment w:val="auto"/>
        <w:rPr>
          <w:rFonts w:ascii="微软雅黑" w:hAnsi="微软雅黑" w:eastAsia="微软雅黑"/>
          <w:b/>
          <w:bCs/>
          <w:color w:val="000000"/>
          <w:sz w:val="32"/>
          <w:szCs w:val="32"/>
          <w:shd w:val="clear" w:color="auto" w:fill="FFFFFF"/>
        </w:rPr>
      </w:pPr>
    </w:p>
    <w:bookmarkEnd w:id="0"/>
    <w:p>
      <w:pPr>
        <w:keepNext w:val="0"/>
        <w:keepLines w:val="0"/>
        <w:pageBreakBefore w:val="0"/>
        <w:kinsoku/>
        <w:overflowPunct/>
        <w:topLinePunct w:val="0"/>
        <w:autoSpaceDE/>
        <w:autoSpaceDN/>
        <w:bidi w:val="0"/>
        <w:spacing w:line="570" w:lineRule="exact"/>
        <w:jc w:val="center"/>
        <w:textAlignment w:val="auto"/>
        <w:outlineLvl w:val="0"/>
        <w:rPr>
          <w:rFonts w:hint="eastAsia" w:ascii="方正小标宋简体" w:hAnsi="宋体" w:eastAsia="方正小标宋简体"/>
          <w:sz w:val="44"/>
          <w:szCs w:val="44"/>
        </w:rPr>
      </w:pPr>
      <w:r>
        <w:rPr>
          <w:rFonts w:hint="eastAsia" w:ascii="方正小标宋简体" w:hAnsi="宋体" w:eastAsia="方正小标宋简体"/>
          <w:bCs/>
          <w:color w:val="000000"/>
          <w:sz w:val="44"/>
          <w:szCs w:val="44"/>
        </w:rPr>
        <w:t>关于印发《</w:t>
      </w:r>
      <w:r>
        <w:rPr>
          <w:rFonts w:hint="eastAsia" w:ascii="方正小标宋简体" w:hAnsi="宋体" w:eastAsia="方正小标宋简体"/>
          <w:sz w:val="44"/>
          <w:szCs w:val="44"/>
        </w:rPr>
        <w:t>北海艺术设计学院专业建设</w:t>
      </w:r>
    </w:p>
    <w:p>
      <w:pPr>
        <w:keepNext w:val="0"/>
        <w:keepLines w:val="0"/>
        <w:pageBreakBefore w:val="0"/>
        <w:kinsoku/>
        <w:overflowPunct/>
        <w:topLinePunct w:val="0"/>
        <w:autoSpaceDE/>
        <w:autoSpaceDN/>
        <w:bidi w:val="0"/>
        <w:spacing w:line="570" w:lineRule="exact"/>
        <w:jc w:val="center"/>
        <w:textAlignment w:val="auto"/>
        <w:outlineLvl w:val="0"/>
        <w:rPr>
          <w:rFonts w:hint="eastAsia" w:ascii="方正小标宋简体" w:hAnsi="宋体" w:eastAsia="方正小标宋简体"/>
          <w:bCs/>
          <w:color w:val="000000"/>
          <w:sz w:val="44"/>
          <w:szCs w:val="44"/>
        </w:rPr>
      </w:pPr>
      <w:r>
        <w:rPr>
          <w:rFonts w:hint="eastAsia" w:ascii="方正小标宋简体" w:hAnsi="宋体" w:eastAsia="方正小标宋简体"/>
          <w:sz w:val="44"/>
          <w:szCs w:val="44"/>
        </w:rPr>
        <w:t>指导委员会工作章程（修订）</w:t>
      </w:r>
      <w:r>
        <w:rPr>
          <w:rFonts w:hint="eastAsia" w:ascii="方正小标宋简体" w:hAnsi="宋体" w:eastAsia="方正小标宋简体"/>
          <w:bCs/>
          <w:color w:val="000000"/>
          <w:sz w:val="44"/>
          <w:szCs w:val="44"/>
        </w:rPr>
        <w:t>》</w:t>
      </w:r>
    </w:p>
    <w:p>
      <w:pPr>
        <w:keepNext w:val="0"/>
        <w:keepLines w:val="0"/>
        <w:pageBreakBefore w:val="0"/>
        <w:kinsoku/>
        <w:overflowPunct/>
        <w:topLinePunct w:val="0"/>
        <w:autoSpaceDE/>
        <w:autoSpaceDN/>
        <w:bidi w:val="0"/>
        <w:spacing w:line="570" w:lineRule="exact"/>
        <w:jc w:val="center"/>
        <w:textAlignment w:val="auto"/>
        <w:outlineLvl w:val="0"/>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both"/>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themeColor="text1"/>
          <w:sz w:val="32"/>
          <w:szCs w:val="32"/>
          <w14:textFill>
            <w14:solidFill>
              <w14:schemeClr w14:val="tx1"/>
            </w14:solidFill>
          </w14:textFill>
        </w:rPr>
      </w:pPr>
      <w:r>
        <w:rPr>
          <w:rFonts w:hint="eastAsia" w:ascii="方正仿宋简体" w:hAnsi="宋体" w:eastAsia="方正仿宋简体"/>
          <w:bCs/>
          <w:color w:val="000000" w:themeColor="text1"/>
          <w:sz w:val="32"/>
          <w:szCs w:val="32"/>
          <w14:textFill>
            <w14:solidFill>
              <w14:schemeClr w14:val="tx1"/>
            </w14:solidFill>
          </w14:textFill>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为</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推动学校人才培养模式改革，</w:t>
      </w:r>
      <w:bookmarkStart w:id="6" w:name="_GoBack"/>
      <w:bookmarkEnd w:id="6"/>
      <w:r>
        <w:rPr>
          <w:rFonts w:hint="eastAsia" w:ascii="方正仿宋简体" w:hAnsi="宋体" w:eastAsia="方正仿宋简体" w:cs="宋体"/>
          <w:color w:val="000000" w:themeColor="text1"/>
          <w:sz w:val="32"/>
          <w:szCs w:val="32"/>
          <w14:textFill>
            <w14:solidFill>
              <w14:schemeClr w14:val="tx1"/>
            </w14:solidFill>
          </w14:textFill>
        </w:rPr>
        <w:t>学校对《北海艺术设计学院专业建设指导委员会工作章程》进行了修订</w:t>
      </w:r>
      <w:r>
        <w:rPr>
          <w:rFonts w:hint="eastAsia" w:ascii="方正仿宋简体" w:hAnsi="宋体" w:eastAsia="方正仿宋简体" w:cs="宋体"/>
          <w:color w:val="000000" w:themeColor="text1"/>
          <w:sz w:val="32"/>
          <w:szCs w:val="32"/>
          <w:lang w:eastAsia="zh-CN"/>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现予以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left="1598" w:leftChars="304" w:hanging="960" w:hangingChars="300"/>
        <w:jc w:val="both"/>
        <w:textAlignment w:val="auto"/>
        <w:outlineLvl w:val="9"/>
        <w:rPr>
          <w:rFonts w:hint="default" w:ascii="方正仿宋简体" w:eastAsia="方正仿宋简体"/>
          <w:color w:val="auto"/>
          <w:sz w:val="32"/>
          <w:szCs w:val="32"/>
          <w:lang w:val="en-US" w:eastAsia="zh-CN"/>
        </w:rPr>
      </w:pPr>
      <w:r>
        <w:rPr>
          <w:rFonts w:hint="eastAsia" w:ascii="方正仿宋简体" w:eastAsia="方正仿宋简体"/>
          <w:color w:val="auto"/>
          <w:sz w:val="32"/>
          <w:szCs w:val="32"/>
          <w:lang w:val="en-US" w:eastAsia="zh-CN"/>
        </w:rPr>
        <w:t>附件：北海艺术设计学院专业建设指导委员会工作章程（修订）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lang w:eastAsia="zh-CN"/>
        </w:rPr>
      </w:pPr>
    </w:p>
    <w:p>
      <w:pPr>
        <w:keepNext w:val="0"/>
        <w:keepLines w:val="0"/>
        <w:pageBreakBefore w:val="0"/>
        <w:widowControl/>
        <w:tabs>
          <w:tab w:val="left" w:pos="315"/>
        </w:tabs>
        <w:kinsoku/>
        <w:wordWrap/>
        <w:overflowPunct/>
        <w:topLinePunct w:val="0"/>
        <w:autoSpaceDE/>
        <w:autoSpaceDN/>
        <w:bidi w:val="0"/>
        <w:adjustRightInd/>
        <w:snapToGrid/>
        <w:spacing w:line="570" w:lineRule="exact"/>
        <w:ind w:right="0" w:rightChars="0"/>
        <w:jc w:val="righ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北海艺术设计学院    </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right="0" w:rightChars="0"/>
        <w:jc w:val="right"/>
        <w:textAlignment w:val="auto"/>
        <w:rPr>
          <w:rFonts w:hint="eastAsia" w:ascii="方正仿宋简体" w:eastAsia="方正仿宋简体"/>
          <w:color w:val="0000FF"/>
          <w:sz w:val="32"/>
          <w:szCs w:val="32"/>
        </w:rPr>
      </w:pPr>
      <w:r>
        <w:rPr>
          <w:rFonts w:hint="eastAsia" w:ascii="方正仿宋简体" w:hAnsi="方正仿宋简体" w:eastAsia="方正仿宋简体"/>
          <w:color w:val="auto"/>
          <w:sz w:val="32"/>
          <w:szCs w:val="32"/>
          <w:lang w:val="en-US" w:eastAsia="zh-CN"/>
        </w:rPr>
        <w:t>2021年11月3日</w:t>
      </w:r>
      <w:r>
        <w:rPr>
          <w:rFonts w:hint="eastAsia" w:ascii="方正仿宋简体" w:hAnsi="方正仿宋简体" w:eastAsia="方正仿宋简体"/>
          <w:color w:val="000000" w:themeColor="text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FF"/>
          <w:sz w:val="32"/>
          <w:szCs w:val="32"/>
          <w:lang w:val="en-US" w:eastAsia="zh-CN"/>
        </w:rPr>
        <w:t xml:space="preserve">   </w:t>
      </w:r>
    </w:p>
    <w:p>
      <w:pPr>
        <w:keepNext w:val="0"/>
        <w:keepLines w:val="0"/>
        <w:pageBreakBefore w:val="0"/>
        <w:kinsoku/>
        <w:overflowPunct/>
        <w:topLinePunct w:val="0"/>
        <w:autoSpaceDE/>
        <w:autoSpaceDN/>
        <w:bidi w:val="0"/>
        <w:spacing w:line="570" w:lineRule="exact"/>
        <w:textAlignment w:val="auto"/>
        <w:rPr>
          <w:rFonts w:hint="eastAsia" w:ascii="方正小标宋简体" w:hAnsi="方正大标宋简体" w:eastAsia="方正小标宋简体" w:cs="方正大标宋简体"/>
          <w:sz w:val="44"/>
          <w:szCs w:val="44"/>
          <w:u w:val="none"/>
        </w:rPr>
      </w:pPr>
      <w:r>
        <w:rPr>
          <w:rFonts w:hint="eastAsia" w:ascii="方正小标宋简体" w:hAnsi="方正大标宋简体" w:eastAsia="方正小标宋简体" w:cs="方正大标宋简体"/>
          <w:sz w:val="44"/>
          <w:szCs w:val="44"/>
          <w:u w:val="none"/>
        </w:rPr>
        <w:br w:type="page"/>
      </w:r>
    </w:p>
    <w:p>
      <w:pPr>
        <w:keepNext w:val="0"/>
        <w:keepLines w:val="0"/>
        <w:pageBreakBefore w:val="0"/>
        <w:widowControl w:val="0"/>
        <w:kinsoku/>
        <w:wordWrap/>
        <w:overflowPunct/>
        <w:topLinePunct w:val="0"/>
        <w:autoSpaceDE/>
        <w:autoSpaceDN/>
        <w:bidi w:val="0"/>
        <w:adjustRightInd/>
        <w:snapToGrid w:val="0"/>
        <w:spacing w:after="157" w:afterLines="50" w:line="570" w:lineRule="exact"/>
        <w:jc w:val="both"/>
        <w:textAlignment w:val="auto"/>
        <w:outlineLvl w:val="9"/>
        <w:rPr>
          <w:rFonts w:hint="eastAsia" w:ascii="方正小标宋简体" w:hAnsi="仿宋" w:eastAsia="方正小标宋简体" w:cs="宋体"/>
          <w:bCs/>
          <w:kern w:val="0"/>
          <w:sz w:val="44"/>
          <w:szCs w:val="44"/>
        </w:rPr>
      </w:pPr>
      <w:r>
        <w:rPr>
          <w:rFonts w:hint="eastAsia" w:ascii="方正仿宋简体" w:eastAsia="方正仿宋简体"/>
          <w:color w:val="auto"/>
          <w:sz w:val="32"/>
          <w:szCs w:val="32"/>
          <w:lang w:val="en-US" w:eastAsia="zh-CN"/>
        </w:rPr>
        <w:t>附件</w:t>
      </w:r>
    </w:p>
    <w:p>
      <w:pPr>
        <w:keepNext w:val="0"/>
        <w:keepLines w:val="0"/>
        <w:pageBreakBefore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北海艺术设计学院</w:t>
      </w:r>
    </w:p>
    <w:p>
      <w:pPr>
        <w:keepNext w:val="0"/>
        <w:keepLines w:val="0"/>
        <w:pageBreakBefore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仿宋" w:eastAsia="方正小标宋简体" w:cs="宋体"/>
          <w:bCs/>
          <w:kern w:val="0"/>
          <w:sz w:val="44"/>
          <w:szCs w:val="44"/>
          <w:lang w:eastAsia="zh-CN"/>
        </w:rPr>
      </w:pPr>
      <w:r>
        <w:rPr>
          <w:rFonts w:hint="eastAsia" w:ascii="方正小标宋简体" w:hAnsi="仿宋" w:eastAsia="方正小标宋简体" w:cs="宋体"/>
          <w:bCs/>
          <w:kern w:val="0"/>
          <w:sz w:val="44"/>
          <w:szCs w:val="44"/>
        </w:rPr>
        <w:t>专业建设指导委员会工作章程</w:t>
      </w:r>
      <w:bookmarkEnd w:id="5"/>
      <w:r>
        <w:rPr>
          <w:rFonts w:hint="eastAsia" w:ascii="方正小标宋简体" w:hAnsi="仿宋" w:eastAsia="方正小标宋简体" w:cs="宋体"/>
          <w:bCs/>
          <w:kern w:val="0"/>
          <w:sz w:val="44"/>
          <w:szCs w:val="44"/>
          <w:lang w:eastAsia="zh-CN"/>
        </w:rPr>
        <w:t>（修订）</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bCs/>
          <w:kern w:val="0"/>
          <w:sz w:val="32"/>
          <w:szCs w:val="32"/>
        </w:rPr>
      </w:pPr>
    </w:p>
    <w:p>
      <w:pPr>
        <w:keepNext w:val="0"/>
        <w:keepLines w:val="0"/>
        <w:pageBreakBefore w:val="0"/>
        <w:widowControl/>
        <w:kinsoku/>
        <w:wordWrap/>
        <w:overflowPunct/>
        <w:topLinePunct w:val="0"/>
        <w:autoSpaceDE/>
        <w:autoSpaceDN/>
        <w:bidi w:val="0"/>
        <w:adjustRightInd/>
        <w:spacing w:before="156" w:beforeLines="50" w:after="156" w:afterLines="50" w:line="570" w:lineRule="exact"/>
        <w:jc w:val="center"/>
        <w:textAlignment w:val="auto"/>
        <w:outlineLvl w:val="9"/>
        <w:rPr>
          <w:rFonts w:ascii="黑体" w:hAnsi="黑体" w:eastAsia="黑体" w:cs="黑体"/>
          <w:bCs/>
          <w:sz w:val="32"/>
          <w:szCs w:val="32"/>
        </w:rPr>
      </w:pPr>
      <w:r>
        <w:rPr>
          <w:rFonts w:hint="eastAsia" w:ascii="黑体" w:hAnsi="黑体" w:eastAsia="黑体" w:cs="黑体"/>
          <w:bCs/>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第一条 </w:t>
      </w:r>
      <w:r>
        <w:rPr>
          <w:rFonts w:hint="eastAsia" w:ascii="方正仿宋简体" w:hAnsi="方正仿宋简体" w:eastAsia="方正仿宋简体" w:cs="方正仿宋简体"/>
          <w:kern w:val="0"/>
          <w:sz w:val="32"/>
          <w:szCs w:val="32"/>
          <w:lang w:bidi="ar"/>
        </w:rPr>
        <w:t>为贯彻落实党的教育方针，加强与相关行业联系，准确把握各专业培养目标，使学校教育教学要求与社会人才市场需求相适应，推动学校人才培养模式改革，成立校、院两级专业建设指导委员会。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第二条 </w:t>
      </w:r>
      <w:r>
        <w:rPr>
          <w:rFonts w:hint="eastAsia" w:ascii="方正仿宋简体" w:hAnsi="方正仿宋简体" w:eastAsia="方正仿宋简体" w:cs="方正仿宋简体"/>
          <w:kern w:val="0"/>
          <w:sz w:val="32"/>
          <w:szCs w:val="32"/>
          <w:lang w:bidi="ar"/>
        </w:rPr>
        <w:t>专业建设指导委员会是学校教学改革、专业建设、产学结合等教学研究及教学指导的权威性学术管理机构。专业建设指导委员会要及时跟踪市场需求的变化，主动适应区域、行业经济和社会发展需要，根据学校办学条件，有针对性地调整和设置专业。</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第三条 </w:t>
      </w:r>
      <w:r>
        <w:rPr>
          <w:rFonts w:hint="eastAsia" w:ascii="方正仿宋简体" w:hAnsi="方正仿宋简体" w:eastAsia="方正仿宋简体" w:cs="方正仿宋简体"/>
          <w:kern w:val="0"/>
          <w:sz w:val="32"/>
          <w:szCs w:val="32"/>
          <w:lang w:bidi="ar"/>
        </w:rPr>
        <w:t>专业建设指导委员会要贯彻落实党的教育方针政策，解放思想、实事求是，要遵循高等教育和应用型人才培养的客观规律，以教学为中心，坚持“道德为本、艺术求精”的办学理念；坚持文化艺术行业特色鲜明的应用型普通本科院校定位；认真探讨新时期高等教育的新情况、新问题，加强专业建设，深化教学改革，研讨课程教学方法。积极开展人才培养的研究、指导、咨询、服务工作。</w:t>
      </w:r>
    </w:p>
    <w:p>
      <w:pPr>
        <w:keepNext w:val="0"/>
        <w:keepLines w:val="0"/>
        <w:pageBreakBefore w:val="0"/>
        <w:widowControl/>
        <w:kinsoku/>
        <w:wordWrap/>
        <w:overflowPunct/>
        <w:topLinePunct w:val="0"/>
        <w:autoSpaceDE/>
        <w:autoSpaceDN/>
        <w:bidi w:val="0"/>
        <w:adjustRightInd/>
        <w:spacing w:before="156" w:beforeLines="50" w:after="156" w:afterLines="50" w:line="570" w:lineRule="exact"/>
        <w:jc w:val="center"/>
        <w:textAlignment w:val="auto"/>
        <w:outlineLvl w:val="9"/>
        <w:rPr>
          <w:rFonts w:ascii="黑体" w:hAnsi="黑体" w:eastAsia="黑体" w:cs="黑体"/>
          <w:bCs/>
          <w:kern w:val="0"/>
          <w:sz w:val="32"/>
          <w:szCs w:val="32"/>
        </w:rPr>
      </w:pPr>
      <w:r>
        <w:rPr>
          <w:rFonts w:hint="eastAsia" w:ascii="黑体" w:hAnsi="黑体" w:eastAsia="黑体" w:cs="黑体"/>
          <w:bCs/>
          <w:kern w:val="0"/>
          <w:sz w:val="32"/>
          <w:szCs w:val="32"/>
        </w:rPr>
        <w:t>第二章  工作职责</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第四条 </w:t>
      </w:r>
      <w:r>
        <w:rPr>
          <w:rFonts w:hint="eastAsia" w:ascii="方正仿宋简体" w:hAnsi="方正仿宋简体" w:eastAsia="方正仿宋简体" w:cs="方正仿宋简体"/>
          <w:kern w:val="0"/>
          <w:sz w:val="32"/>
          <w:szCs w:val="32"/>
          <w:lang w:bidi="ar"/>
        </w:rPr>
        <w:t>学校专业建设指导委员会工作职责</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（一）负责学校中长期专业建设规划的论证和审定，对学校专业设置、新专业申报、新设本科专业评估材料进行评议、审定。</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（二）负责学校学科建设和课程改革的指导。负责全校各专业人才培养方案制（修）订、教学大纲制（修）订、课程建设相关资料的审批。对学校重点专业、一流课程建设进行审定并给予指导。</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（三）指导各学院建立产学结合的长效运行机制和管理机制。</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第五条 </w:t>
      </w:r>
      <w:r>
        <w:rPr>
          <w:rFonts w:hint="eastAsia" w:ascii="方正仿宋简体" w:hAnsi="方正仿宋简体" w:eastAsia="方正仿宋简体" w:cs="方正仿宋简体"/>
          <w:kern w:val="0"/>
          <w:sz w:val="32"/>
          <w:szCs w:val="32"/>
          <w:lang w:bidi="ar"/>
        </w:rPr>
        <w:t>学院专业建设指导分委员会工作职责</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专业建设指导分委员会在学校专业建设指导委员会的指导下开展工作，其主要职责：</w:t>
      </w:r>
    </w:p>
    <w:p>
      <w:pPr>
        <w:keepNext w:val="0"/>
        <w:keepLines w:val="0"/>
        <w:pageBreakBefore w:val="0"/>
        <w:widowControl/>
        <w:numPr>
          <w:ilvl w:val="0"/>
          <w:numId w:val="1"/>
        </w:numPr>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负责本学院各专业人才培养方案制（修）订、教学大纲制（修）订课程建设相关资料的审定和报批。</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（二）听取、审议专业建设工作规划、专业培养目标，并对专业、课程设置及人才培养规格等提供决策咨询。负责学院重点专业、重点课程及其他课程的建设管理。</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（三）定期召开专业咨询论证会，了解相关行业对专业设置、培养、教学内容等方面教学改革的意见和建议，为教学改革及调整提供依据。</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（四）负责协助、指导做好新专业的市场调研、论证、申报材料的审定等工作。</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（五）与企业建立良好的联系，根据企业需要，与企业共同开展市场行情分析、人员培训、产品开发、联合办学等方面的工作。</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（六）建立产学结合的长效运行机制和管理机制。</w:t>
      </w:r>
    </w:p>
    <w:p>
      <w:pPr>
        <w:keepNext w:val="0"/>
        <w:keepLines w:val="0"/>
        <w:pageBreakBefore w:val="0"/>
        <w:widowControl/>
        <w:kinsoku/>
        <w:wordWrap/>
        <w:overflowPunct/>
        <w:topLinePunct w:val="0"/>
        <w:autoSpaceDE/>
        <w:autoSpaceDN/>
        <w:bidi w:val="0"/>
        <w:adjustRightInd/>
        <w:spacing w:before="156" w:beforeLines="50" w:after="156" w:afterLines="50" w:line="570" w:lineRule="exact"/>
        <w:jc w:val="center"/>
        <w:textAlignment w:val="auto"/>
        <w:outlineLvl w:val="9"/>
        <w:rPr>
          <w:rFonts w:ascii="黑体" w:hAnsi="黑体" w:eastAsia="黑体" w:cs="黑体"/>
          <w:bCs/>
          <w:kern w:val="0"/>
          <w:sz w:val="32"/>
          <w:szCs w:val="32"/>
        </w:rPr>
      </w:pPr>
      <w:r>
        <w:rPr>
          <w:rFonts w:hint="eastAsia" w:ascii="黑体" w:hAnsi="黑体" w:eastAsia="黑体" w:cs="黑体"/>
          <w:bCs/>
          <w:kern w:val="0"/>
          <w:sz w:val="32"/>
          <w:szCs w:val="32"/>
        </w:rPr>
        <w:t>第三章  组织机构</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第六条 </w:t>
      </w:r>
      <w:r>
        <w:rPr>
          <w:rFonts w:hint="eastAsia" w:ascii="方正仿宋简体" w:hAnsi="方正仿宋简体" w:eastAsia="方正仿宋简体" w:cs="方正仿宋简体"/>
          <w:kern w:val="0"/>
          <w:sz w:val="32"/>
          <w:szCs w:val="32"/>
          <w:lang w:bidi="ar"/>
        </w:rPr>
        <w:t>学校专业建设委员会由25名以上成员（含25名）组成，其中，主任委员1名，副主任委员3名，秘书1名，委员若干名。校内委员由具有副高级以上职称的学校领导、教务处、教学质量监控办公室及各二级学院主要负责人组成，校外委员由行业专家组成，行业专家在委员会中所占比例不少于30%。委员会每届任期一般为4年，可以连任。</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第七条 </w:t>
      </w:r>
      <w:r>
        <w:rPr>
          <w:rFonts w:hint="eastAsia" w:ascii="方正仿宋简体" w:hAnsi="方正仿宋简体" w:eastAsia="方正仿宋简体" w:cs="方正仿宋简体"/>
          <w:kern w:val="0"/>
          <w:sz w:val="32"/>
          <w:szCs w:val="32"/>
          <w:lang w:bidi="ar"/>
        </w:rPr>
        <w:t>学院专业建设指导分委员会由9名以上成员（含9名）组成，其中校外行业专家不少于30%，报学校专业建设委员会批准。</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第八条 </w:t>
      </w:r>
      <w:r>
        <w:rPr>
          <w:rFonts w:hint="eastAsia" w:ascii="方正仿宋简体" w:hAnsi="方正仿宋简体" w:eastAsia="方正仿宋简体" w:cs="方正仿宋简体"/>
          <w:kern w:val="0"/>
          <w:sz w:val="32"/>
          <w:szCs w:val="32"/>
          <w:lang w:bidi="ar"/>
        </w:rPr>
        <w:t>学校专业建设指导委员会办公室设在教务处，日常工作由秘书负责。</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kern w:val="0"/>
          <w:sz w:val="32"/>
          <w:szCs w:val="32"/>
          <w:lang w:bidi="ar"/>
        </w:rPr>
      </w:pPr>
      <w:r>
        <w:rPr>
          <w:rFonts w:hint="eastAsia" w:ascii="黑体" w:hAnsi="黑体" w:eastAsia="黑体" w:cs="黑体"/>
          <w:kern w:val="0"/>
          <w:sz w:val="32"/>
          <w:szCs w:val="32"/>
          <w:lang w:bidi="ar"/>
        </w:rPr>
        <w:t xml:space="preserve">第九条 </w:t>
      </w:r>
      <w:r>
        <w:rPr>
          <w:rFonts w:hint="eastAsia" w:ascii="方正仿宋简体" w:hAnsi="方正仿宋简体" w:eastAsia="方正仿宋简体" w:cs="方正仿宋简体"/>
          <w:kern w:val="0"/>
          <w:sz w:val="32"/>
          <w:szCs w:val="32"/>
          <w:lang w:bidi="ar"/>
        </w:rPr>
        <w:t>两级专业建设指导委员会委员应遵守《北海艺术设计学院专业建设指导委员会工作章程》。</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outlineLvl w:val="9"/>
        <w:rPr>
          <w:rFonts w:ascii="黑体" w:hAnsi="黑体" w:eastAsia="黑体" w:cs="黑体"/>
          <w:bCs/>
          <w:kern w:val="0"/>
          <w:sz w:val="32"/>
          <w:szCs w:val="32"/>
        </w:rPr>
      </w:pPr>
      <w:r>
        <w:rPr>
          <w:rFonts w:hint="eastAsia" w:ascii="黑体" w:hAnsi="黑体" w:eastAsia="黑体" w:cs="黑体"/>
          <w:bCs/>
          <w:kern w:val="0"/>
          <w:sz w:val="32"/>
          <w:szCs w:val="32"/>
        </w:rPr>
        <w:t>第四章  工作制度</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第十条 </w:t>
      </w:r>
      <w:r>
        <w:rPr>
          <w:rFonts w:hint="eastAsia" w:ascii="方正仿宋简体" w:hAnsi="方正仿宋简体" w:eastAsia="方正仿宋简体" w:cs="方正仿宋简体"/>
          <w:sz w:val="32"/>
          <w:szCs w:val="32"/>
        </w:rPr>
        <w:t>为更好地开展工作，</w:t>
      </w:r>
      <w:r>
        <w:rPr>
          <w:rFonts w:hint="eastAsia" w:ascii="方正仿宋简体" w:hAnsi="方正仿宋简体" w:eastAsia="方正仿宋简体" w:cs="方正仿宋简体"/>
          <w:kern w:val="0"/>
          <w:sz w:val="32"/>
          <w:szCs w:val="32"/>
          <w:lang w:bidi="ar"/>
        </w:rPr>
        <w:t>两级专业建设指导委员会</w:t>
      </w:r>
      <w:r>
        <w:rPr>
          <w:rFonts w:hint="eastAsia" w:ascii="方正仿宋简体" w:hAnsi="方正仿宋简体" w:eastAsia="方正仿宋简体" w:cs="方正仿宋简体"/>
          <w:sz w:val="32"/>
          <w:szCs w:val="32"/>
        </w:rPr>
        <w:t>设立以下工作制度：</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（一）例会制度：</w:t>
      </w:r>
      <w:r>
        <w:rPr>
          <w:rFonts w:hint="eastAsia" w:ascii="方正仿宋简体" w:hAnsi="方正仿宋简体" w:eastAsia="方正仿宋简体" w:cs="方正仿宋简体"/>
          <w:kern w:val="0"/>
          <w:sz w:val="32"/>
          <w:szCs w:val="32"/>
          <w:lang w:bidi="ar"/>
        </w:rPr>
        <w:t>专业建设指导</w:t>
      </w:r>
      <w:r>
        <w:rPr>
          <w:rFonts w:hint="eastAsia" w:ascii="方正仿宋简体" w:hAnsi="方正仿宋简体" w:eastAsia="方正仿宋简体" w:cs="方正仿宋简体"/>
          <w:sz w:val="32"/>
          <w:szCs w:val="32"/>
        </w:rPr>
        <w:t>委员会全体会议在</w:t>
      </w:r>
      <w:r>
        <w:rPr>
          <w:rFonts w:hint="eastAsia" w:ascii="方正仿宋简体" w:hAnsi="方正仿宋简体" w:eastAsia="方正仿宋简体" w:cs="方正仿宋简体"/>
          <w:kern w:val="0"/>
          <w:sz w:val="32"/>
          <w:szCs w:val="32"/>
          <w:lang w:bidi="ar"/>
        </w:rPr>
        <w:t>专业建设指导</w:t>
      </w:r>
      <w:r>
        <w:rPr>
          <w:rFonts w:hint="eastAsia" w:ascii="方正仿宋简体" w:hAnsi="方正仿宋简体" w:eastAsia="方正仿宋简体" w:cs="方正仿宋简体"/>
          <w:sz w:val="32"/>
          <w:szCs w:val="32"/>
        </w:rPr>
        <w:t>委员会主任委员的主持下每学期至少召开两次，对</w:t>
      </w:r>
      <w:r>
        <w:rPr>
          <w:rFonts w:hint="eastAsia" w:ascii="方正仿宋简体" w:hAnsi="方正仿宋简体" w:eastAsia="方正仿宋简体" w:cs="方正仿宋简体"/>
          <w:kern w:val="0"/>
          <w:sz w:val="32"/>
          <w:szCs w:val="32"/>
          <w:lang w:bidi="ar"/>
        </w:rPr>
        <w:t>专业建设工作</w:t>
      </w:r>
      <w:r>
        <w:rPr>
          <w:rFonts w:hint="eastAsia" w:ascii="方正仿宋简体" w:hAnsi="方正仿宋简体" w:eastAsia="方正仿宋简体" w:cs="方正仿宋简体"/>
          <w:sz w:val="32"/>
          <w:szCs w:val="32"/>
        </w:rPr>
        <w:t>中的重大问题进行研究与指导、评议与决策。主任委员因故不能主持，可委托副主任委员主持。</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（二）临时会议制度：根据工作需要，</w:t>
      </w:r>
      <w:r>
        <w:rPr>
          <w:rFonts w:hint="eastAsia" w:ascii="方正仿宋简体" w:hAnsi="方正仿宋简体" w:eastAsia="方正仿宋简体" w:cs="方正仿宋简体"/>
          <w:kern w:val="0"/>
          <w:sz w:val="32"/>
          <w:szCs w:val="32"/>
          <w:lang w:bidi="ar"/>
        </w:rPr>
        <w:t>专业建设指导</w:t>
      </w:r>
      <w:r>
        <w:rPr>
          <w:rFonts w:hint="eastAsia" w:ascii="方正仿宋简体" w:hAnsi="方正仿宋简体" w:eastAsia="方正仿宋简体" w:cs="方正仿宋简体"/>
          <w:sz w:val="32"/>
          <w:szCs w:val="32"/>
        </w:rPr>
        <w:t>委员会在征得主任委员允许后可召集其他委员开会。</w:t>
      </w:r>
      <w:r>
        <w:rPr>
          <w:rFonts w:hint="eastAsia" w:ascii="方正仿宋简体" w:hAnsi="方正仿宋简体" w:eastAsia="方正仿宋简体" w:cs="方正仿宋简体"/>
          <w:kern w:val="0"/>
          <w:sz w:val="32"/>
          <w:szCs w:val="32"/>
          <w:lang w:bidi="ar"/>
        </w:rPr>
        <w:t>专业建设指导</w:t>
      </w:r>
      <w:r>
        <w:rPr>
          <w:rFonts w:hint="eastAsia" w:ascii="方正仿宋简体" w:hAnsi="方正仿宋简体" w:eastAsia="方正仿宋简体" w:cs="方正仿宋简体"/>
          <w:sz w:val="32"/>
          <w:szCs w:val="32"/>
        </w:rPr>
        <w:t>委员会临时会议到会委员人数需达到三分之二（含）以上。</w:t>
      </w:r>
    </w:p>
    <w:p>
      <w:pPr>
        <w:keepNext w:val="0"/>
        <w:keepLines w:val="0"/>
        <w:pageBreakBefore w:val="0"/>
        <w:widowControl/>
        <w:kinsoku/>
        <w:wordWrap/>
        <w:overflowPunct/>
        <w:topLinePunct w:val="0"/>
        <w:autoSpaceDE/>
        <w:autoSpaceDN/>
        <w:bidi w:val="0"/>
        <w:adjustRightInd/>
        <w:spacing w:before="156" w:beforeLines="50" w:after="156" w:afterLines="50" w:line="570" w:lineRule="exact"/>
        <w:jc w:val="center"/>
        <w:textAlignment w:val="auto"/>
        <w:outlineLvl w:val="9"/>
        <w:rPr>
          <w:rFonts w:ascii="黑体" w:hAnsi="黑体" w:eastAsia="黑体" w:cs="黑体"/>
          <w:bCs/>
          <w:kern w:val="0"/>
          <w:sz w:val="32"/>
          <w:szCs w:val="32"/>
        </w:rPr>
      </w:pPr>
      <w:r>
        <w:rPr>
          <w:rFonts w:hint="eastAsia" w:ascii="黑体" w:hAnsi="黑体" w:eastAsia="黑体" w:cs="黑体"/>
          <w:bCs/>
          <w:kern w:val="0"/>
          <w:sz w:val="32"/>
          <w:szCs w:val="32"/>
        </w:rPr>
        <w:t>第五章  附  则</w:t>
      </w:r>
    </w:p>
    <w:p>
      <w:pPr>
        <w:keepNext w:val="0"/>
        <w:keepLines w:val="0"/>
        <w:pageBreakBefore w:val="0"/>
        <w:widowControl/>
        <w:tabs>
          <w:tab w:val="left" w:pos="315"/>
        </w:tabs>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r>
        <w:rPr>
          <w:rFonts w:hint="eastAsia" w:ascii="黑体" w:hAnsi="黑体" w:eastAsia="黑体" w:cs="黑体"/>
          <w:sz w:val="32"/>
          <w:szCs w:val="32"/>
        </w:rPr>
        <w:t>第十一条</w:t>
      </w:r>
      <w:r>
        <w:rPr>
          <w:rFonts w:hint="eastAsia" w:ascii="黑体" w:hAnsi="黑体" w:eastAsia="黑体" w:cs="黑体"/>
          <w:b/>
          <w:bCs/>
          <w:sz w:val="32"/>
          <w:szCs w:val="32"/>
        </w:rPr>
        <w:t xml:space="preserve"> </w:t>
      </w:r>
      <w:r>
        <w:rPr>
          <w:rFonts w:hint="eastAsia" w:ascii="方正仿宋简体" w:hAnsi="方正仿宋简体" w:eastAsia="方正仿宋简体" w:cs="方正仿宋简体"/>
          <w:sz w:val="32"/>
          <w:szCs w:val="32"/>
        </w:rPr>
        <w:t>本章程自公布之日起实施，由专业建设指导委员会负责解释。</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F2733"/>
    <w:multiLevelType w:val="singleLevel"/>
    <w:tmpl w:val="3BEF27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6D602B"/>
    <w:rsid w:val="00054C6F"/>
    <w:rsid w:val="000A2B01"/>
    <w:rsid w:val="000B6607"/>
    <w:rsid w:val="001D1976"/>
    <w:rsid w:val="002454AA"/>
    <w:rsid w:val="00251D62"/>
    <w:rsid w:val="00417C95"/>
    <w:rsid w:val="00496CBA"/>
    <w:rsid w:val="004A2414"/>
    <w:rsid w:val="006D602B"/>
    <w:rsid w:val="007A7842"/>
    <w:rsid w:val="008127FB"/>
    <w:rsid w:val="00850CD8"/>
    <w:rsid w:val="009440A9"/>
    <w:rsid w:val="00AE0FD9"/>
    <w:rsid w:val="00DF254D"/>
    <w:rsid w:val="00F24B91"/>
    <w:rsid w:val="00FB16BC"/>
    <w:rsid w:val="00FD64E5"/>
    <w:rsid w:val="085A46C9"/>
    <w:rsid w:val="0A870BFA"/>
    <w:rsid w:val="0D9755F8"/>
    <w:rsid w:val="0E8518F4"/>
    <w:rsid w:val="0F3550C8"/>
    <w:rsid w:val="0F4277E5"/>
    <w:rsid w:val="114A0BD3"/>
    <w:rsid w:val="159A3ED7"/>
    <w:rsid w:val="17101F77"/>
    <w:rsid w:val="1B99078D"/>
    <w:rsid w:val="22BE0C00"/>
    <w:rsid w:val="26282E39"/>
    <w:rsid w:val="28706D19"/>
    <w:rsid w:val="2A9A007E"/>
    <w:rsid w:val="2BCE7943"/>
    <w:rsid w:val="2DEE2BBA"/>
    <w:rsid w:val="35152A4B"/>
    <w:rsid w:val="36996C83"/>
    <w:rsid w:val="379D506B"/>
    <w:rsid w:val="3D4225DB"/>
    <w:rsid w:val="3DBA5DEE"/>
    <w:rsid w:val="41330EB0"/>
    <w:rsid w:val="42794168"/>
    <w:rsid w:val="46E2098A"/>
    <w:rsid w:val="4823125B"/>
    <w:rsid w:val="49D40A5E"/>
    <w:rsid w:val="50DE0415"/>
    <w:rsid w:val="51713037"/>
    <w:rsid w:val="59F34F31"/>
    <w:rsid w:val="5DD37373"/>
    <w:rsid w:val="60A46F85"/>
    <w:rsid w:val="6146003C"/>
    <w:rsid w:val="62E47B0C"/>
    <w:rsid w:val="637B27C0"/>
    <w:rsid w:val="661F0E5C"/>
    <w:rsid w:val="682E182A"/>
    <w:rsid w:val="69616496"/>
    <w:rsid w:val="6A813E93"/>
    <w:rsid w:val="6AE840E4"/>
    <w:rsid w:val="6BB42046"/>
    <w:rsid w:val="6DD34E1C"/>
    <w:rsid w:val="711C2963"/>
    <w:rsid w:val="7B31720F"/>
    <w:rsid w:val="7C6A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szCs w:val="24"/>
    </w:rPr>
  </w:style>
  <w:style w:type="character" w:customStyle="1" w:styleId="11">
    <w:name w:val="批注主题 字符"/>
    <w:basedOn w:val="10"/>
    <w:link w:val="6"/>
    <w:qFormat/>
    <w:uiPriority w:val="0"/>
    <w:rPr>
      <w:b/>
      <w:bCs/>
      <w:kern w:val="2"/>
      <w:sz w:val="21"/>
      <w:szCs w:val="24"/>
    </w:rPr>
  </w:style>
  <w:style w:type="character" w:customStyle="1" w:styleId="12">
    <w:name w:val="批注框文本 字符"/>
    <w:basedOn w:val="8"/>
    <w:link w:val="3"/>
    <w:qFormat/>
    <w:uiPriority w:val="0"/>
    <w:rPr>
      <w:kern w:val="2"/>
      <w:sz w:val="18"/>
      <w:szCs w:val="18"/>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1654</Words>
  <Characters>1668</Characters>
  <Lines>11</Lines>
  <Paragraphs>3</Paragraphs>
  <TotalTime>0</TotalTime>
  <ScaleCrop>false</ScaleCrop>
  <LinksUpToDate>false</LinksUpToDate>
  <CharactersWithSpaces>1701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2022-05-16T05:00:00Z</cp:lastPrinted>
  <dcterms:modified xsi:type="dcterms:W3CDTF">2022-05-16T07:51:42Z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