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Times New Roman" w:eastAsia="方正小标宋简体" w:cs="Times New Roman"/>
          <w:b/>
          <w:color w:val="FF0000"/>
          <w:spacing w:val="80"/>
          <w:sz w:val="92"/>
          <w:szCs w:val="92"/>
        </w:rPr>
      </w:pPr>
      <w:bookmarkStart w:id="0" w:name="OLE_LINK1"/>
      <w:bookmarkStart w:id="1" w:name="_Toc12106"/>
      <w:bookmarkStart w:id="2" w:name="_Toc20520"/>
      <w:bookmarkStart w:id="3" w:name="_Toc27123"/>
      <w:r>
        <w:rPr>
          <w:rFonts w:hint="eastAsia" w:ascii="方正小标宋简体" w:hAnsi="Times New Roman" w:eastAsia="方正小标宋简体" w:cs="Times New Roman"/>
          <w:b/>
          <w:color w:val="FF0000"/>
          <w:spacing w:val="80"/>
          <w:sz w:val="92"/>
          <w:szCs w:val="92"/>
        </w:rPr>
        <w:t>北海艺术设计学院</w:t>
      </w:r>
    </w:p>
    <w:p>
      <w:pPr>
        <w:spacing w:line="500" w:lineRule="exact"/>
        <w:jc w:val="center"/>
        <w:rPr>
          <w:rFonts w:ascii="方正仿宋简体" w:hAnsi="宋体" w:eastAsia="方正仿宋简体" w:cs="Times New Roman"/>
          <w:color w:val="auto"/>
          <w:sz w:val="32"/>
          <w:szCs w:val="32"/>
        </w:rPr>
      </w:pPr>
      <w:r>
        <w:rPr>
          <w:rFonts w:hint="eastAsia" w:ascii="方正仿宋简体" w:hAnsi="宋体" w:eastAsia="方正仿宋简体" w:cs="Times New Roman"/>
          <w:color w:val="auto"/>
          <w:sz w:val="32"/>
          <w:szCs w:val="32"/>
        </w:rPr>
        <w:t>北艺教发〔20</w:t>
      </w:r>
      <w:r>
        <w:rPr>
          <w:rFonts w:hint="eastAsia" w:ascii="方正仿宋简体" w:hAnsi="宋体" w:eastAsia="方正仿宋简体" w:cs="Times New Roman"/>
          <w:color w:val="auto"/>
          <w:sz w:val="32"/>
          <w:szCs w:val="32"/>
          <w:lang w:val="en-US" w:eastAsia="zh-CN"/>
        </w:rPr>
        <w:t>21</w:t>
      </w:r>
      <w:r>
        <w:rPr>
          <w:rFonts w:hint="eastAsia" w:ascii="方正仿宋简体" w:hAnsi="宋体" w:eastAsia="方正仿宋简体" w:cs="Times New Roman"/>
          <w:color w:val="auto"/>
          <w:sz w:val="32"/>
          <w:szCs w:val="32"/>
        </w:rPr>
        <w:t>〕</w:t>
      </w:r>
      <w:r>
        <w:rPr>
          <w:rFonts w:hint="eastAsia" w:ascii="方正仿宋简体" w:hAnsi="宋体" w:eastAsia="方正仿宋简体" w:cs="Times New Roman"/>
          <w:color w:val="auto"/>
          <w:sz w:val="32"/>
          <w:szCs w:val="32"/>
          <w:lang w:val="en-US" w:eastAsia="zh-CN"/>
        </w:rPr>
        <w:t>103</w:t>
      </w:r>
      <w:r>
        <w:rPr>
          <w:rFonts w:hint="eastAsia" w:ascii="方正仿宋简体" w:hAnsi="宋体" w:eastAsia="方正仿宋简体" w:cs="Times New Roman"/>
          <w:color w:val="auto"/>
          <w:sz w:val="32"/>
          <w:szCs w:val="32"/>
        </w:rPr>
        <w:t>号</w:t>
      </w:r>
    </w:p>
    <w:p>
      <w:pPr>
        <w:spacing w:line="520" w:lineRule="exact"/>
        <w:rPr>
          <w:rFonts w:ascii="Times New Roman" w:hAnsi="Times New Roman" w:eastAsia="宋体" w:cs="Times New Roman"/>
          <w:szCs w:val="24"/>
        </w:rPr>
      </w:pPr>
      <w:r>
        <w:rPr>
          <w:rFonts w:hint="eastAsia" w:ascii="Times New Roman" w:hAnsi="Times New Roman" w:eastAsia="宋体" w:cs="Times New Roman"/>
          <w:szCs w:val="24"/>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81280</wp:posOffset>
                </wp:positionV>
                <wp:extent cx="56007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6.4pt;height:0pt;width:441pt;z-index:-251656192;mso-width-relative:page;mso-height-relative:page;" filled="f" stroked="t" coordsize="21600,21600" o:gfxdata="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q94FtYAAAAGAQAADwAAAAAAAAABACAAAAAiAAAAZHJzL2Rvd25yZXYueG1sUEsBAhQAFAAAAAgA&#10;h07iQBo87AHuAQAA2QMAAA4AAAAAAAAAAQAgAAAAJQEAAGRycy9lMm9Eb2MueG1sUEsFBgAAAAAG&#10;AAYAWQEAAIUFAAAAAA==&#10;">
                <v:fill on="f" focussize="0,0"/>
                <v:stroke weight="3pt" color="#FF0000" joinstyle="round"/>
                <v:imagedata o:title=""/>
                <o:lock v:ext="edit" aspectratio="f"/>
              </v:line>
            </w:pict>
          </mc:Fallback>
        </mc:AlternateContent>
      </w:r>
      <w:bookmarkEnd w:id="0"/>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宋体" w:eastAsia="方正小标宋简体" w:cs="Times New Roman"/>
          <w:bCs/>
          <w:color w:val="000000"/>
          <w:sz w:val="44"/>
          <w:szCs w:val="44"/>
        </w:rPr>
        <w:t>关于印发《</w:t>
      </w:r>
      <w:r>
        <w:rPr>
          <w:rFonts w:hint="eastAsia" w:ascii="方正小标宋简体" w:hAnsi="方正小标宋简体" w:eastAsia="方正小标宋简体" w:cs="方正小标宋简体"/>
          <w:sz w:val="44"/>
          <w:szCs w:val="44"/>
        </w:rPr>
        <w:t>北海艺术设计学院多媒体教学</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s="Times New Roman"/>
          <w:bCs/>
          <w:color w:val="000000"/>
          <w:sz w:val="44"/>
          <w:szCs w:val="44"/>
        </w:rPr>
      </w:pPr>
      <w:bookmarkStart w:id="4" w:name="_GoBack"/>
      <w:bookmarkEnd w:id="4"/>
      <w:r>
        <w:rPr>
          <w:rFonts w:hint="eastAsia" w:ascii="方正小标宋简体" w:hAnsi="方正小标宋简体" w:eastAsia="方正小标宋简体" w:cs="方正小标宋简体"/>
          <w:sz w:val="44"/>
          <w:szCs w:val="44"/>
        </w:rPr>
        <w:t>管理规定</w:t>
      </w:r>
      <w:r>
        <w:rPr>
          <w:rFonts w:hint="eastAsia" w:ascii="方正小标宋简体" w:hAnsi="宋体" w:eastAsia="方正小标宋简体" w:cs="Times New Roman"/>
          <w:bCs/>
          <w:color w:val="000000"/>
          <w:sz w:val="44"/>
          <w:szCs w:val="44"/>
        </w:rPr>
        <w:t>》的通知</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宋体" w:eastAsia="方正仿宋简体" w:cs="宋体"/>
          <w:sz w:val="32"/>
          <w:szCs w:val="32"/>
        </w:rPr>
      </w:pPr>
    </w:p>
    <w:p>
      <w:pPr>
        <w:keepNext w:val="0"/>
        <w:keepLines w:val="0"/>
        <w:pageBreakBefore w:val="0"/>
        <w:widowControl/>
        <w:kinsoku/>
        <w:wordWrap/>
        <w:overflowPunct/>
        <w:topLinePunct w:val="0"/>
        <w:autoSpaceDE/>
        <w:autoSpaceDN/>
        <w:bidi w:val="0"/>
        <w:adjustRightInd/>
        <w:snapToGrid/>
        <w:spacing w:line="570" w:lineRule="exact"/>
        <w:jc w:val="both"/>
        <w:textAlignment w:val="auto"/>
        <w:rPr>
          <w:rFonts w:ascii="方正仿宋简体" w:hAnsi="宋体" w:eastAsia="方正仿宋简体" w:cs="宋体"/>
          <w:color w:val="auto"/>
          <w:sz w:val="32"/>
          <w:szCs w:val="32"/>
        </w:rPr>
      </w:pPr>
      <w:r>
        <w:rPr>
          <w:rFonts w:hint="eastAsia" w:ascii="方正仿宋简体" w:hAnsi="宋体" w:eastAsia="方正仿宋简体" w:cs="宋体"/>
          <w:color w:val="auto"/>
          <w:sz w:val="32"/>
          <w:szCs w:val="32"/>
        </w:rPr>
        <w:t>学校</w:t>
      </w:r>
      <w:r>
        <w:rPr>
          <w:rFonts w:hint="eastAsia" w:ascii="方正仿宋简体" w:hAnsi="宋体" w:eastAsia="方正仿宋简体" w:cs="宋体"/>
          <w:color w:val="auto"/>
          <w:sz w:val="32"/>
          <w:szCs w:val="32"/>
          <w:lang w:val="en-US" w:eastAsia="zh-CN"/>
        </w:rPr>
        <w:t>各</w:t>
      </w:r>
      <w:r>
        <w:rPr>
          <w:rFonts w:hint="eastAsia" w:ascii="方正仿宋简体" w:hAnsi="宋体" w:eastAsia="方正仿宋简体" w:cs="宋体"/>
          <w:strike w:val="0"/>
          <w:dstrike w:val="0"/>
          <w:color w:val="auto"/>
          <w:sz w:val="32"/>
          <w:szCs w:val="32"/>
          <w:lang w:val="en-US" w:eastAsia="zh-CN"/>
        </w:rPr>
        <w:t>部门、单位</w:t>
      </w:r>
      <w:r>
        <w:rPr>
          <w:rFonts w:hint="eastAsia" w:ascii="方正仿宋简体" w:hAnsi="宋体" w:eastAsia="方正仿宋简体" w:cs="宋体"/>
          <w:color w:val="auto"/>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方正仿宋简体" w:hAnsi="宋体" w:eastAsia="方正仿宋简体" w:cs="宋体"/>
          <w:strike w:val="0"/>
          <w:dstrike w:val="0"/>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rPr>
        <w:t>为进一步规范多媒体教学的课件研究与制作，鼓励教师充分利用现代教育技术开展教学内容、教学方法与手段的改革，提高教学效果，</w:t>
      </w:r>
      <w:r>
        <w:rPr>
          <w:rFonts w:hint="eastAsia" w:ascii="方正仿宋简体" w:hAnsi="方正仿宋简体" w:eastAsia="方正仿宋简体" w:cs="方正仿宋简体"/>
          <w:color w:val="auto"/>
          <w:kern w:val="2"/>
          <w:sz w:val="32"/>
          <w:szCs w:val="32"/>
          <w:lang w:val="en-US" w:eastAsia="zh-CN"/>
        </w:rPr>
        <w:t>学校制定了《</w:t>
      </w:r>
      <w:r>
        <w:rPr>
          <w:rFonts w:hint="eastAsia" w:ascii="方正仿宋简体" w:hAnsi="方正仿宋简体" w:eastAsia="方正仿宋简体" w:cs="方正仿宋简体"/>
          <w:color w:val="auto"/>
          <w:kern w:val="2"/>
          <w:sz w:val="32"/>
          <w:szCs w:val="32"/>
        </w:rPr>
        <w:t>北海艺术设计学院多媒体教学管理规定</w:t>
      </w:r>
      <w:r>
        <w:rPr>
          <w:rFonts w:hint="eastAsia" w:ascii="方正仿宋简体" w:hAnsi="方正仿宋简体" w:eastAsia="方正仿宋简体" w:cs="方正仿宋简体"/>
          <w:color w:val="auto"/>
          <w:kern w:val="2"/>
          <w:sz w:val="32"/>
          <w:szCs w:val="32"/>
          <w:lang w:eastAsia="zh-CN"/>
        </w:rPr>
        <w:t>》</w:t>
      </w:r>
      <w:r>
        <w:rPr>
          <w:rFonts w:hint="eastAsia" w:ascii="方正仿宋简体" w:hAnsi="方正仿宋简体" w:eastAsia="方正仿宋简体" w:cs="方正仿宋简体"/>
          <w:color w:val="auto"/>
          <w:kern w:val="2"/>
          <w:sz w:val="32"/>
          <w:szCs w:val="32"/>
        </w:rPr>
        <w:t>。</w:t>
      </w:r>
      <w:r>
        <w:rPr>
          <w:rFonts w:hint="eastAsia" w:ascii="方正仿宋简体" w:hAnsi="宋体" w:eastAsia="方正仿宋简体" w:cs="宋体"/>
          <w:strike w:val="0"/>
          <w:dstrike w:val="0"/>
          <w:color w:val="auto"/>
          <w:kern w:val="2"/>
          <w:sz w:val="32"/>
          <w:szCs w:val="32"/>
          <w:lang w:val="en-US" w:eastAsia="zh-CN" w:bidi="ar-SA"/>
        </w:rPr>
        <w:t>现予以印发，请认真贯彻执行。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default" w:ascii="方正仿宋简体" w:hAnsi="Times New Roman" w:eastAsia="方正仿宋简体" w:cs="Times New Roman"/>
          <w:sz w:val="32"/>
          <w:szCs w:val="32"/>
          <w:lang w:val="en-US" w:eastAsia="zh-CN"/>
        </w:rPr>
      </w:pPr>
      <w:r>
        <w:rPr>
          <w:rFonts w:hint="eastAsia" w:ascii="方正仿宋简体" w:hAnsi="Times New Roman" w:eastAsia="方正仿宋简体" w:cs="Times New Roman"/>
          <w:sz w:val="32"/>
          <w:szCs w:val="32"/>
        </w:rPr>
        <w:t>北海艺术设计学院</w:t>
      </w:r>
      <w:r>
        <w:rPr>
          <w:rFonts w:hint="eastAsia" w:ascii="方正仿宋简体" w:hAnsi="Times New Roman" w:eastAsia="方正仿宋简体"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default" w:ascii="方正仿宋简体" w:hAnsi="Times New Roman" w:eastAsia="方正仿宋简体" w:cs="Times New Roman"/>
          <w:color w:val="auto"/>
          <w:sz w:val="32"/>
          <w:szCs w:val="32"/>
          <w:lang w:val="en-US" w:eastAsia="zh-CN"/>
        </w:rPr>
      </w:pPr>
      <w:r>
        <w:rPr>
          <w:rFonts w:hint="eastAsia" w:ascii="方正仿宋简体" w:hAnsi="Times New Roman" w:eastAsia="方正仿宋简体" w:cs="Times New Roman"/>
          <w:color w:val="auto"/>
          <w:sz w:val="32"/>
          <w:szCs w:val="32"/>
        </w:rPr>
        <w:t>20</w:t>
      </w:r>
      <w:r>
        <w:rPr>
          <w:rFonts w:hint="eastAsia" w:ascii="方正仿宋简体" w:hAnsi="Times New Roman" w:eastAsia="方正仿宋简体" w:cs="Times New Roman"/>
          <w:color w:val="auto"/>
          <w:sz w:val="32"/>
          <w:szCs w:val="32"/>
          <w:lang w:val="en-US" w:eastAsia="zh-CN"/>
        </w:rPr>
        <w:t>21</w:t>
      </w:r>
      <w:r>
        <w:rPr>
          <w:rFonts w:hint="eastAsia" w:ascii="方正仿宋简体" w:hAnsi="Times New Roman" w:eastAsia="方正仿宋简体" w:cs="Times New Roman"/>
          <w:color w:val="auto"/>
          <w:sz w:val="32"/>
          <w:szCs w:val="32"/>
        </w:rPr>
        <w:t>年</w:t>
      </w:r>
      <w:r>
        <w:rPr>
          <w:rFonts w:hint="eastAsia" w:ascii="方正仿宋简体" w:hAnsi="Times New Roman" w:eastAsia="方正仿宋简体" w:cs="Times New Roman"/>
          <w:color w:val="auto"/>
          <w:sz w:val="32"/>
          <w:szCs w:val="32"/>
          <w:lang w:val="en-US" w:eastAsia="zh-CN"/>
        </w:rPr>
        <w:t>12</w:t>
      </w:r>
      <w:r>
        <w:rPr>
          <w:rFonts w:hint="eastAsia" w:ascii="方正仿宋简体" w:hAnsi="Times New Roman" w:eastAsia="方正仿宋简体" w:cs="Times New Roman"/>
          <w:color w:val="auto"/>
          <w:sz w:val="32"/>
          <w:szCs w:val="32"/>
        </w:rPr>
        <w:t>月</w:t>
      </w:r>
      <w:r>
        <w:rPr>
          <w:rFonts w:hint="eastAsia" w:ascii="方正仿宋简体" w:hAnsi="Times New Roman" w:eastAsia="方正仿宋简体" w:cs="Times New Roman"/>
          <w:color w:val="auto"/>
          <w:sz w:val="32"/>
          <w:szCs w:val="32"/>
          <w:lang w:val="en-US" w:eastAsia="zh-CN"/>
        </w:rPr>
        <w:t>1</w:t>
      </w:r>
      <w:r>
        <w:rPr>
          <w:rFonts w:hint="eastAsia" w:ascii="方正仿宋简体" w:hAnsi="Times New Roman" w:eastAsia="方正仿宋简体" w:cs="Times New Roman"/>
          <w:color w:val="auto"/>
          <w:sz w:val="32"/>
          <w:szCs w:val="32"/>
        </w:rPr>
        <w:t>日</w:t>
      </w:r>
      <w:r>
        <w:rPr>
          <w:rFonts w:hint="eastAsia" w:ascii="方正仿宋简体" w:hAnsi="Times New Roman" w:eastAsia="方正仿宋简体" w:cs="Times New Roman"/>
          <w:color w:val="auto"/>
          <w:sz w:val="32"/>
          <w:szCs w:val="32"/>
          <w:lang w:val="en-US" w:eastAsia="zh-CN"/>
        </w:rPr>
        <w:t xml:space="preserve">    </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kinsoku/>
        <w:wordWrap/>
        <w:overflowPunct/>
        <w:topLinePunct w:val="0"/>
        <w:autoSpaceDE/>
        <w:autoSpaceDN/>
        <w:bidi w:val="0"/>
        <w:adjustRightInd/>
        <w:snapToGrid/>
        <w:spacing w:line="570" w:lineRule="exact"/>
        <w:jc w:val="center"/>
        <w:textAlignment w:val="auto"/>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北海艺术设计学院多媒体教学管理规定</w:t>
      </w:r>
      <w:bookmarkEnd w:id="1"/>
      <w:bookmarkEnd w:id="2"/>
      <w:bookmarkEnd w:id="3"/>
    </w:p>
    <w:p>
      <w:pPr>
        <w:pStyle w:val="5"/>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2"/>
          <w:szCs w:val="32"/>
        </w:rPr>
      </w:pP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一、多媒体课件制作要求</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多媒体课件是指以现代教学思想为指导，以学生为中心，以计算机、多媒体和通讯技术为支撑，将文本、图像、动画、音频、视频有机集成，具有一定教学功能的多媒体计算机辅助教学软件。多媒体课件包括电子教案和网络课件，应能充分展现多媒体技术的声音、文字、图形和活动图像等，使学生通过多个感觉器官来获取相关信息，提高教学效果。纯电子文本（如Word文档）或电子版教材不属于多媒体课件。</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（一）学校大力支持广大教师积极制作讲授课程的课件。开发多媒体课件应遵循以下基本原则：</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1.要遵照国家有关教育的法律、法规和政策，遵循高等教育的规律，符合本学科专业的教学特点。</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2.要吸收高等教育改革和科研工作的最新成果，使多媒体课件具备创造性、先进性、科学性和教学适用性。</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3.要根据多媒体教学的特点和要求，以及不同学科、不同课程、不同内容的特点和学生的实际情况，制作和使用多媒体课件。</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4.多媒体课件要做到界面和谐美观，符合学生的视觉特点，且操作简单，具有一定的交互性。</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多媒体课件制作的基本要求：多媒体教学课件的开发和制作，需要在教学理论的指导下，做好教学设计、系统结构模型设计、导航策略设计和交互界面设计等工作，充分利用多种媒体综合的优势，结合课内、课外相关的教学资料，答疑解惑相关内容。在教学实践中反复使用，不断修改，使制作的多媒体教学课件符合教学规律，取得良好的教学效果。具体要求如下：</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1.教学设计。多媒体课件必须与教案和课程内容紧密结合；课件的教学设计要体现专业培养目标的要求、现代教育思想和理念；创意新颖，能激发学生学习兴趣。</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教学内容。课件内容的选择应与课程教学目的、教学内容相适应；要符合学生认知规律，逻辑性强，富有启发性，便于学生学习，有利于学生能力的培养；课件要有一定的容量，能覆盖课程的主要内容；灵活运用多种媒体技术和方法，深入浅出地解决教学的重点、难点和疑点；素材引用和举例既合理贴切又丰富广博。</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制作技术。导航设计合理、响应及时有效；图文并茂、画面清晰、色彩逼真、声音悦耳；模拟仿真形象、生动、准确、真实；具有友好的人机交互，具有诊断评价、反馈强化的功能。课件页面帧数要恰当，每帧所用颜色不宜过多，各章节前景色和背景色选取应特别注意显示的清晰度，保证视觉效果。文字应简练、规范，字号要适当，图形、图像清晰，重点、难点处要突出标明，动态显示的尽量动态显示，保证视觉效果，保证教室后排座位的学生能看清。多媒体课件应根据各课程特点，利用各种图、表、动画、影像、音频资料，直观形象地反映教学内容，尽可能扩大知识信息量。课件界面美观，操作简单，提示信息详细、准确、恰当。在设计网络课件时，要使用较为广泛的开发工具。网络课件尽可能开发成无需安装就能够直接运行的可执行文件或脚本程序。</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教学应用。在课堂教学中，课件、讲授能有机结合、相得益彰；能有效地改善教学效果；课件兼容性好，安装、使用、卸载方便。多媒体教学课件应根据课程教学的需要不断改进，使之更加科学化和系统化，尽可能满足学生课堂、课后学习的需要。</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（三）鼓励教师将自主开发和使用的课件发布在网络上供广大教师和学生共享，共建我校的教学资源库。倡导使用我校的网络教学平台探讨基于网络的多媒体教学和网络课程建设，开展教学模式改革。</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二、多媒体教学的要求</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多媒体教学是指在教学过程中，根据课程教学目标和教学对象的特点，通过教学设计，合理选择和运用现代媒体技术。通过运用现代多媒体教学方式使师生共同参与教学全过程，以多种媒体信息作用于学生，形成合理的教学过程结构，以达到最优化的教学效果。</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多媒体授课要与传统教学手段有机组合，集成多媒体信息，调动学生积极参与，促进学生原有认知结构发展和优化，激发学生学习的内在动机和兴趣，提高教学质量和教学效率。在教学过程中，应遵循现代化教学手段的原则，让现代化教学手段与板书教学相得益彰互补促进。当出现停电、设备故障、课件损坏等情况时，必须采用黑板板书方式完成教学任务，不能停课，按照《北海艺术设计学院突发事件教学运行应急预案》（北艺教发〔2021〕69号）进行处理。</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（二）教师要增强使用多媒体教学手段的意识，通过学习和教学实践，不断提高自身使用多媒体教学手段的水平，达到在教学过程中合理使用，规范操作的目标。课程主讲教师要有制作和使用多媒体授课的能力。</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教师应根据多媒体教学的特点进行教学设计，充分发挥多媒体技术的优势，课前要精心备课，设计好多媒体教学教案，要熟悉讲解内容和要点，设计好适于多媒体教学的电子教案和课件。语言应简明扼要，富有感染力，以启发学生的求知欲，引导学生思考问题，注重师生互动，努力提高多媒体课件的教学效果。</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课程容量应适合学生的接受程度，避免大容量的灌输；教师在讲授过程中要合理控制页面停留时间，掌握节奏，换屏适度，能使学生充分阅读，能有时间理解，并适当留出做笔记的时间，不能满屏幕，满堂灌；必要时用板书配合，教师应将屏幕显示适当讲授，忌教材“搬家”、主次不分。</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对于声音、视频图像信息在播放前要给予适当提示，以便于学生集中精力听课，对没有解说词的重要画面，教师要用响亮的语言提醒注意或做简短的说明。应向学生指出重点，随时观察学生的听课反应，进行必要的师生互动交流，注意学习效果，并根据课堂情况，适时调整教学进度和教学方法。</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（六）为了保证学生在课堂上集中注意力听课，便于课后复习和自学，巩固和扩展课堂讲授内容，阅读参考文献和资料，经授课教师同意后，学生可以下载、拷贝授课教师制作的多媒体课件。</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三、多媒体教学的管理与评估</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教务处负责多媒体教学规章制度建设；开展多媒体课件制作培训工作及多媒体教学观摩，举办经验交流会，增强教师使用多媒体教学的能力；组织多媒体教学竞赛和多媒体课件评比活动，对多媒体教学表现突出的教师进行表彰和奖励；负责省级、国家级多媒体课件竞赛的评审推荐工作。</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（二）各二级学院（部）负责本院教师多媒体课件质量的审查，并积极开展多媒体教学方法研究，组织观摩教学，推动多媒体教学不断完善，提高多媒体教学质量。</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（三）开展问卷调查、举办学生座谈、网上评议等活动，及时了解多媒体教学信息，同时充分发挥学生教学信息联络员和教学质量监控信箱的作用。</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（四）加强多媒体教学质量的检查与评估工作。学校将把教师多媒体授课质量的检查与评估，作为课堂教学质量检查与评估的重要组成部分。</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四、附则</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本规定自公布之日起执行，由教务处负责解释。</w:t>
      </w: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p>
    <w:p>
      <w:pPr>
        <w:pStyle w:val="5"/>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附件：北海艺术设计学院多媒体教学课件评估标准</w:t>
      </w:r>
    </w:p>
    <w:p>
      <w:pPr>
        <w:keepNext w:val="0"/>
        <w:keepLines w:val="0"/>
        <w:pageBreakBefore w:val="0"/>
        <w:kinsoku/>
        <w:wordWrap/>
        <w:overflowPunct/>
        <w:topLinePunct w:val="0"/>
        <w:autoSpaceDE/>
        <w:autoSpaceDN/>
        <w:bidi w:val="0"/>
        <w:adjustRightInd/>
        <w:snapToGrid/>
        <w:spacing w:line="570" w:lineRule="exac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br w:type="page"/>
      </w:r>
    </w:p>
    <w:p>
      <w:pPr>
        <w:pStyle w:val="2"/>
        <w:widowControl/>
        <w:spacing w:before="0" w:beforeAutospacing="0" w:after="156" w:afterLines="50" w:afterAutospacing="0" w:line="570" w:lineRule="exact"/>
        <w:rPr>
          <w:rFonts w:hint="default" w:ascii="方正仿宋简体" w:hAnsi="方正仿宋简体" w:eastAsia="方正仿宋简体" w:cs="方正仿宋简体"/>
          <w:b w:val="0"/>
          <w:bCs w:val="0"/>
          <w:kern w:val="2"/>
          <w:sz w:val="32"/>
          <w:szCs w:val="32"/>
        </w:rPr>
      </w:pPr>
      <w:r>
        <w:rPr>
          <w:rFonts w:ascii="方正仿宋简体" w:hAnsi="方正仿宋简体" w:eastAsia="方正仿宋简体" w:cs="方正仿宋简体"/>
          <w:b w:val="0"/>
          <w:bCs w:val="0"/>
          <w:kern w:val="2"/>
          <w:sz w:val="32"/>
          <w:szCs w:val="32"/>
        </w:rPr>
        <w:t>附件</w:t>
      </w:r>
    </w:p>
    <w:p>
      <w:pPr>
        <w:pStyle w:val="5"/>
        <w:widowControl/>
        <w:spacing w:after="156" w:afterLines="50"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北海艺术设计学院多媒体教学课件评估标准</w:t>
      </w:r>
    </w:p>
    <w:tbl>
      <w:tblPr>
        <w:tblStyle w:val="6"/>
        <w:tblW w:w="9127"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
      <w:tblGrid>
        <w:gridCol w:w="1365"/>
        <w:gridCol w:w="5505"/>
        <w:gridCol w:w="1095"/>
        <w:gridCol w:w="116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388" w:hRule="atLeast"/>
          <w:jc w:val="center"/>
        </w:trPr>
        <w:tc>
          <w:tcPr>
            <w:tcW w:w="1365"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项  目</w:t>
            </w:r>
          </w:p>
        </w:tc>
        <w:tc>
          <w:tcPr>
            <w:tcW w:w="5505" w:type="dxa"/>
            <w:vMerge w:val="restart"/>
            <w:tcBorders>
              <w:top w:val="single" w:color="000000" w:sz="8" w:space="0"/>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标  准</w:t>
            </w:r>
          </w:p>
        </w:tc>
        <w:tc>
          <w:tcPr>
            <w:tcW w:w="2257" w:type="dxa"/>
            <w:gridSpan w:val="2"/>
            <w:tcBorders>
              <w:top w:val="single" w:color="000000" w:sz="8" w:space="0"/>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分  值</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768" w:hRule="atLeast"/>
          <w:jc w:val="center"/>
        </w:trPr>
        <w:tc>
          <w:tcPr>
            <w:tcW w:w="1365" w:type="dxa"/>
            <w:vMerge w:val="continue"/>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vMerge w:val="continue"/>
            <w:tcBorders>
              <w:top w:val="single" w:color="000000" w:sz="8" w:space="0"/>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子项分</w:t>
            </w:r>
          </w:p>
        </w:tc>
        <w:tc>
          <w:tcPr>
            <w:tcW w:w="1162"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项目</w:t>
            </w:r>
          </w:p>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总分</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65" w:type="dxa"/>
            <w:vMerge w:val="restart"/>
            <w:tcBorders>
              <w:top w:val="nil"/>
              <w:left w:val="single" w:color="000000" w:sz="8" w:space="0"/>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教育性</w:t>
            </w: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1.多媒体课件教学目标明确，符合本专业、本学科的特点；</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10</w:t>
            </w:r>
          </w:p>
        </w:tc>
        <w:tc>
          <w:tcPr>
            <w:tcW w:w="1162" w:type="dxa"/>
            <w:vMerge w:val="restart"/>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25</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2.多媒体课件围绕教学目的和教学对象，依据教学大纲进行编写；</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5</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3.多媒体课件能有助于解决教学重点、难点、关键内容或文字教材难以解决的问题；</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5</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4.多媒体课件的设计符合教学原则和认识规律，能激发学习者的学习兴趣和积极性。</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5</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65" w:type="dxa"/>
            <w:vMerge w:val="restart"/>
            <w:tcBorders>
              <w:top w:val="nil"/>
              <w:left w:val="single" w:color="000000" w:sz="8" w:space="0"/>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科学性</w:t>
            </w: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1.多媒体课件所呈现的知识内容、绘制的图形和与其配合的解说词等有较强的科学性；</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10</w:t>
            </w:r>
          </w:p>
        </w:tc>
        <w:tc>
          <w:tcPr>
            <w:tcW w:w="1162" w:type="dxa"/>
            <w:vMerge w:val="restart"/>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20</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2.多媒体课件中的模拟实验、动画等符合科学原理；</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5</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3.多媒体课件的动画、图形及画面色彩，保持客观事物的真实性。</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5</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365" w:type="dxa"/>
            <w:vMerge w:val="restart"/>
            <w:tcBorders>
              <w:top w:val="nil"/>
              <w:left w:val="single" w:color="000000" w:sz="8" w:space="0"/>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技术性</w:t>
            </w: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1.多媒体课件充分利用了现代信息技术，实现了多媒体信息（文本、声音、音乐、图片、动画、图像）的集成，内容丰富；</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10</w:t>
            </w:r>
          </w:p>
        </w:tc>
        <w:tc>
          <w:tcPr>
            <w:tcW w:w="1162" w:type="dxa"/>
            <w:vMerge w:val="restart"/>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20</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2.多媒体网络版课件能实现网上快速地浏览、学习；</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5</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3.多媒体课件吸收了教育、教学和涉及课程内容的新成果。</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5</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65" w:type="dxa"/>
            <w:vMerge w:val="restart"/>
            <w:tcBorders>
              <w:top w:val="nil"/>
              <w:left w:val="single" w:color="000000" w:sz="8" w:space="0"/>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实用性</w:t>
            </w: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1.多媒体课件设计画面清晰，文字大小适中，色彩搭配合理，适合在多媒体教室投影教学；</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15</w:t>
            </w:r>
          </w:p>
        </w:tc>
        <w:tc>
          <w:tcPr>
            <w:tcW w:w="1162" w:type="dxa"/>
            <w:vMerge w:val="restart"/>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25</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2.多媒体课件开发平台大众化，操作平台统一，兼容性好；</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5</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3.网络版多媒体课件传输速率较快；</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2</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4.开发的多媒体课件能打包，符合出版和发行条件。</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3</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65" w:type="dxa"/>
            <w:vMerge w:val="restart"/>
            <w:tcBorders>
              <w:top w:val="nil"/>
              <w:left w:val="single" w:color="000000" w:sz="8" w:space="0"/>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艺术性</w:t>
            </w: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1.多媒体课件具有较强的表现力；</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5</w:t>
            </w:r>
          </w:p>
        </w:tc>
        <w:tc>
          <w:tcPr>
            <w:tcW w:w="1162" w:type="dxa"/>
            <w:vMerge w:val="restart"/>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10</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1365" w:type="dxa"/>
            <w:vMerge w:val="continue"/>
            <w:tcBorders>
              <w:top w:val="nil"/>
              <w:left w:val="single" w:color="000000" w:sz="8" w:space="0"/>
              <w:bottom w:val="single" w:color="000000" w:sz="8" w:space="0"/>
              <w:right w:val="single" w:color="000000" w:sz="8" w:space="0"/>
            </w:tcBorders>
            <w:vAlign w:val="center"/>
          </w:tcPr>
          <w:p>
            <w:pPr>
              <w:spacing w:line="320" w:lineRule="exact"/>
              <w:jc w:val="center"/>
              <w:rPr>
                <w:rFonts w:ascii="宋体" w:hAnsi="宋体" w:eastAsia="宋体" w:cs="宋体"/>
                <w:sz w:val="24"/>
              </w:rPr>
            </w:pPr>
          </w:p>
        </w:tc>
        <w:tc>
          <w:tcPr>
            <w:tcW w:w="5505" w:type="dxa"/>
            <w:tcBorders>
              <w:top w:val="nil"/>
              <w:left w:val="nil"/>
              <w:bottom w:val="single" w:color="000000" w:sz="8" w:space="0"/>
              <w:right w:val="single" w:color="000000" w:sz="8" w:space="0"/>
            </w:tcBorders>
            <w:vAlign w:val="center"/>
          </w:tcPr>
          <w:p>
            <w:pPr>
              <w:widowControl/>
              <w:spacing w:line="320" w:lineRule="exact"/>
              <w:rPr>
                <w:rFonts w:ascii="宋体" w:hAnsi="宋体" w:eastAsia="宋体" w:cs="宋体"/>
                <w:sz w:val="24"/>
              </w:rPr>
            </w:pPr>
            <w:r>
              <w:rPr>
                <w:rFonts w:hint="eastAsia" w:ascii="宋体" w:hAnsi="宋体" w:eastAsia="宋体" w:cs="宋体"/>
                <w:kern w:val="0"/>
                <w:sz w:val="24"/>
                <w:lang w:bidi="ar"/>
              </w:rPr>
              <w:t>2.多媒体课件有特色。</w:t>
            </w:r>
          </w:p>
        </w:tc>
        <w:tc>
          <w:tcPr>
            <w:tcW w:w="1095" w:type="dxa"/>
            <w:tcBorders>
              <w:top w:val="nil"/>
              <w:left w:val="nil"/>
              <w:bottom w:val="single" w:color="000000" w:sz="8" w:space="0"/>
              <w:right w:val="single" w:color="000000" w:sz="8" w:space="0"/>
            </w:tcBorders>
            <w:vAlign w:val="center"/>
          </w:tcPr>
          <w:p>
            <w:pPr>
              <w:widowControl/>
              <w:spacing w:line="320" w:lineRule="exact"/>
              <w:jc w:val="center"/>
              <w:rPr>
                <w:rFonts w:ascii="宋体" w:hAnsi="宋体" w:eastAsia="宋体" w:cs="宋体"/>
                <w:sz w:val="24"/>
              </w:rPr>
            </w:pPr>
            <w:r>
              <w:rPr>
                <w:rFonts w:hint="eastAsia" w:ascii="宋体" w:hAnsi="宋体" w:eastAsia="宋体" w:cs="宋体"/>
                <w:kern w:val="0"/>
                <w:sz w:val="24"/>
                <w:lang w:bidi="ar"/>
              </w:rPr>
              <w:t>5</w:t>
            </w:r>
          </w:p>
        </w:tc>
        <w:tc>
          <w:tcPr>
            <w:tcW w:w="1162" w:type="dxa"/>
            <w:vMerge w:val="continue"/>
            <w:tcBorders>
              <w:top w:val="nil"/>
              <w:left w:val="nil"/>
              <w:bottom w:val="single" w:color="000000" w:sz="8" w:space="0"/>
              <w:right w:val="single" w:color="000000" w:sz="8" w:space="0"/>
            </w:tcBorders>
            <w:vAlign w:val="center"/>
          </w:tcPr>
          <w:p>
            <w:pPr>
              <w:spacing w:line="320" w:lineRule="exact"/>
              <w:jc w:val="center"/>
              <w:rPr>
                <w:rFonts w:ascii="宋体" w:hAnsi="宋体" w:eastAsia="宋体" w:cs="宋体"/>
                <w:sz w:val="24"/>
              </w:rPr>
            </w:pPr>
          </w:p>
        </w:tc>
      </w:tr>
    </w:tbl>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1Zjc5ZDhiYjgyZDdjZjU3MmM4MTRhYzI0YmNkZmIifQ=="/>
  </w:docVars>
  <w:rsids>
    <w:rsidRoot w:val="004B358A"/>
    <w:rsid w:val="004B358A"/>
    <w:rsid w:val="004C039F"/>
    <w:rsid w:val="02233062"/>
    <w:rsid w:val="0288005D"/>
    <w:rsid w:val="08A86A99"/>
    <w:rsid w:val="156C736A"/>
    <w:rsid w:val="15C56E8B"/>
    <w:rsid w:val="17F673BF"/>
    <w:rsid w:val="187C5B16"/>
    <w:rsid w:val="19E830FF"/>
    <w:rsid w:val="213814AF"/>
    <w:rsid w:val="221C3EC6"/>
    <w:rsid w:val="24C745BD"/>
    <w:rsid w:val="2F3E36CD"/>
    <w:rsid w:val="308E2433"/>
    <w:rsid w:val="31344D88"/>
    <w:rsid w:val="333A23FE"/>
    <w:rsid w:val="336828BE"/>
    <w:rsid w:val="36996C83"/>
    <w:rsid w:val="37967FB6"/>
    <w:rsid w:val="37983B97"/>
    <w:rsid w:val="3B9528C7"/>
    <w:rsid w:val="3DB80AEF"/>
    <w:rsid w:val="42462B6D"/>
    <w:rsid w:val="427F7E2D"/>
    <w:rsid w:val="43B12268"/>
    <w:rsid w:val="4427077C"/>
    <w:rsid w:val="44A1361B"/>
    <w:rsid w:val="46F96400"/>
    <w:rsid w:val="4C2061DD"/>
    <w:rsid w:val="50975475"/>
    <w:rsid w:val="54A43723"/>
    <w:rsid w:val="54D20290"/>
    <w:rsid w:val="558772CD"/>
    <w:rsid w:val="560426CB"/>
    <w:rsid w:val="5CFF3BED"/>
    <w:rsid w:val="5DE27796"/>
    <w:rsid w:val="68012299"/>
    <w:rsid w:val="741E47B0"/>
    <w:rsid w:val="792627D5"/>
    <w:rsid w:val="7E57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spacing w:before="100" w:beforeAutospacing="1" w:after="100" w:afterAutospacing="1"/>
      <w:jc w:val="left"/>
      <w:outlineLvl w:val="4"/>
    </w:pPr>
    <w:rPr>
      <w:rFonts w:hint="eastAsia" w:ascii="宋体" w:hAnsi="宋体" w:eastAsia="宋体" w:cs="Times New Roman"/>
      <w:b/>
      <w:bCs/>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3337</Words>
  <Characters>3386</Characters>
  <Lines>23</Lines>
  <Paragraphs>6</Paragraphs>
  <TotalTime>2</TotalTime>
  <ScaleCrop>false</ScaleCrop>
  <LinksUpToDate>false</LinksUpToDate>
  <CharactersWithSpaces>3400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2022-02-23T02:40:00Z</dcterms:created>
  <dc:creator>admin</dc:creator>
  <cp:lastModifiedBy>你条蕉</cp:lastModifiedBy>
  <dcterms:modified xsi:type="dcterms:W3CDTF">2022-05-16T09:05:59Z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